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CF9B" w14:textId="17CEF745" w:rsidR="00A55623" w:rsidRPr="00126A71" w:rsidRDefault="0079613A" w:rsidP="00A55623">
      <w:pPr>
        <w:pStyle w:val="ONEBodyText"/>
        <w:rPr>
          <w:rFonts w:ascii="Arial" w:hAnsi="Arial" w:cs="Arial"/>
          <w:i/>
          <w:iCs/>
        </w:rPr>
      </w:pPr>
      <w:r w:rsidRPr="00307A32">
        <w:rPr>
          <w:rFonts w:ascii="Arial" w:hAnsi="Arial" w:cs="Arial"/>
          <w:b/>
          <w:bCs/>
          <w:i/>
          <w:iCs/>
        </w:rPr>
        <w:t>No securities regulatory authority or regulator has assessed the merits of these securities or reviewed this document. Any representation to the contrary is an offence. This offering may not be suitable for you and you should only invest in it if you are willing to risk the loss of your entire investment. In making this investment decision, you should seek the advice of a registered dealer.</w:t>
      </w:r>
    </w:p>
    <w:p w14:paraId="4B691D91" w14:textId="61974AAE" w:rsidR="00CE5440" w:rsidRPr="00126A71" w:rsidRDefault="007966A3" w:rsidP="00A55623">
      <w:pPr>
        <w:pStyle w:val="ONEBodyText"/>
        <w:spacing w:after="360"/>
        <w:rPr>
          <w:rFonts w:ascii="Arial" w:hAnsi="Arial" w:cs="Arial"/>
          <w:i/>
          <w:iCs/>
        </w:rPr>
      </w:pPr>
      <w:r w:rsidRPr="00126A71">
        <w:rPr>
          <w:rFonts w:ascii="Arial" w:hAnsi="Arial" w:cs="Arial"/>
          <w:i/>
          <w:iCs/>
        </w:rPr>
        <w:t xml:space="preserve">The securities described in this offering document have not been registered under the United States Securities Act of 1933, as amended (the </w:t>
      </w:r>
      <w:r w:rsidR="00FF58F8" w:rsidRPr="00126A71">
        <w:rPr>
          <w:rFonts w:ascii="Arial" w:hAnsi="Arial" w:cs="Arial"/>
          <w:i/>
          <w:iCs/>
        </w:rPr>
        <w:t>“</w:t>
      </w:r>
      <w:r w:rsidRPr="00126A71">
        <w:rPr>
          <w:rFonts w:ascii="Arial" w:hAnsi="Arial" w:cs="Arial"/>
          <w:b/>
          <w:bCs/>
          <w:i/>
          <w:iCs/>
        </w:rPr>
        <w:t>U.S. Securities Act</w:t>
      </w:r>
      <w:r w:rsidR="00FF58F8" w:rsidRPr="00126A71">
        <w:rPr>
          <w:rFonts w:ascii="Arial" w:hAnsi="Arial" w:cs="Arial"/>
          <w:i/>
          <w:iCs/>
        </w:rPr>
        <w:t>”</w:t>
      </w:r>
      <w:r w:rsidRPr="00126A71">
        <w:rPr>
          <w:rFonts w:ascii="Arial" w:hAnsi="Arial" w:cs="Arial"/>
          <w:i/>
          <w:iCs/>
        </w:rPr>
        <w:t xml:space="preserve">), or the securities laws of any state of the United States, and may not be offered or sold within the United States except pursuant to an exemption from the registration requirements of the U.S. Securities Act and applicable securities laws of any state of the United States. This offering document does not constitute an offer to sell, or the solicitation of an offer to buy, any of the securities described herein within the United States. </w:t>
      </w:r>
      <w:r w:rsidR="00FF58F8" w:rsidRPr="00126A71">
        <w:rPr>
          <w:rFonts w:ascii="Arial" w:hAnsi="Arial" w:cs="Arial"/>
          <w:i/>
          <w:iCs/>
        </w:rPr>
        <w:t>“</w:t>
      </w:r>
      <w:r w:rsidRPr="00126A71">
        <w:rPr>
          <w:rFonts w:ascii="Arial" w:hAnsi="Arial" w:cs="Arial"/>
          <w:i/>
          <w:iCs/>
        </w:rPr>
        <w:t>United States</w:t>
      </w:r>
      <w:r w:rsidR="00FF58F8" w:rsidRPr="00126A71">
        <w:rPr>
          <w:rFonts w:ascii="Arial" w:hAnsi="Arial" w:cs="Arial"/>
          <w:i/>
          <w:iCs/>
        </w:rPr>
        <w:t>”</w:t>
      </w:r>
      <w:r w:rsidRPr="00126A71">
        <w:rPr>
          <w:rFonts w:ascii="Arial" w:hAnsi="Arial" w:cs="Arial"/>
          <w:i/>
          <w:iCs/>
        </w:rPr>
        <w:t xml:space="preserve"> has the meaning ascribed to it in Regulation S under the U.S. Securities Act.</w:t>
      </w:r>
    </w:p>
    <w:p w14:paraId="6775B104" w14:textId="3FC69BA0" w:rsidR="00DB5121" w:rsidRPr="00126A71" w:rsidRDefault="00B721FF" w:rsidP="00DB5121">
      <w:pPr>
        <w:pStyle w:val="TableParagraph"/>
        <w:spacing w:before="0" w:line="203" w:lineRule="exact"/>
        <w:jc w:val="center"/>
        <w:rPr>
          <w:b/>
          <w:spacing w:val="-3"/>
        </w:rPr>
      </w:pPr>
      <w:r>
        <w:rPr>
          <w:b/>
        </w:rPr>
        <w:t>OFFERING</w:t>
      </w:r>
      <w:r w:rsidR="00DB5121" w:rsidRPr="00126A71">
        <w:rPr>
          <w:b/>
          <w:spacing w:val="-3"/>
        </w:rPr>
        <w:t xml:space="preserve"> </w:t>
      </w:r>
      <w:r w:rsidR="00DB5121" w:rsidRPr="00126A71">
        <w:rPr>
          <w:b/>
        </w:rPr>
        <w:t>DOCUMENT</w:t>
      </w:r>
      <w:r w:rsidR="00DB5121" w:rsidRPr="00126A71">
        <w:rPr>
          <w:b/>
          <w:spacing w:val="-3"/>
        </w:rPr>
        <w:t xml:space="preserve"> </w:t>
      </w:r>
    </w:p>
    <w:p w14:paraId="0A880EEA" w14:textId="00235B64" w:rsidR="00CE5440" w:rsidRPr="00126A71" w:rsidRDefault="00DB5121" w:rsidP="00DB5121">
      <w:pPr>
        <w:pStyle w:val="TableParagraph"/>
        <w:spacing w:before="0" w:line="203" w:lineRule="exact"/>
        <w:jc w:val="center"/>
        <w:rPr>
          <w:b/>
        </w:rPr>
      </w:pPr>
      <w:r w:rsidRPr="00126A71">
        <w:rPr>
          <w:b/>
        </w:rPr>
        <w:t>UNDER</w:t>
      </w:r>
      <w:r w:rsidRPr="00126A71">
        <w:rPr>
          <w:b/>
          <w:spacing w:val="-1"/>
        </w:rPr>
        <w:t xml:space="preserve"> </w:t>
      </w:r>
      <w:r w:rsidRPr="00126A71">
        <w:rPr>
          <w:b/>
        </w:rPr>
        <w:t>THE</w:t>
      </w:r>
      <w:r w:rsidRPr="00126A71">
        <w:rPr>
          <w:b/>
          <w:spacing w:val="-4"/>
        </w:rPr>
        <w:t xml:space="preserve"> </w:t>
      </w:r>
      <w:r w:rsidRPr="00126A71">
        <w:rPr>
          <w:b/>
        </w:rPr>
        <w:t>LISTED</w:t>
      </w:r>
      <w:r w:rsidRPr="00126A71">
        <w:rPr>
          <w:b/>
          <w:spacing w:val="-2"/>
        </w:rPr>
        <w:t xml:space="preserve"> </w:t>
      </w:r>
      <w:r w:rsidRPr="00126A71">
        <w:rPr>
          <w:b/>
        </w:rPr>
        <w:t>ISSUER</w:t>
      </w:r>
      <w:r w:rsidRPr="00126A71">
        <w:rPr>
          <w:b/>
          <w:spacing w:val="-2"/>
        </w:rPr>
        <w:t xml:space="preserve"> </w:t>
      </w:r>
      <w:r w:rsidRPr="00126A71">
        <w:rPr>
          <w:b/>
        </w:rPr>
        <w:t>FINANCING</w:t>
      </w:r>
      <w:r w:rsidRPr="00126A71">
        <w:rPr>
          <w:b/>
          <w:spacing w:val="-2"/>
        </w:rPr>
        <w:t xml:space="preserve"> </w:t>
      </w:r>
      <w:r w:rsidRPr="00126A71">
        <w:rPr>
          <w:b/>
        </w:rPr>
        <w:t>EXEMPTION</w:t>
      </w:r>
    </w:p>
    <w:p w14:paraId="3CD72BEA" w14:textId="77777777" w:rsidR="00CE5440" w:rsidRPr="00126A71" w:rsidRDefault="00CE5440"/>
    <w:p w14:paraId="25BC9769" w14:textId="77777777" w:rsidR="00CE5440" w:rsidRPr="00126A71" w:rsidRDefault="00CE5440"/>
    <w:tbl>
      <w:tblPr>
        <w:tblW w:w="0" w:type="auto"/>
        <w:tblInd w:w="115" w:type="dxa"/>
        <w:tblLayout w:type="fixed"/>
        <w:tblCellMar>
          <w:left w:w="0" w:type="dxa"/>
          <w:right w:w="0" w:type="dxa"/>
        </w:tblCellMar>
        <w:tblLook w:val="01E0" w:firstRow="1" w:lastRow="1" w:firstColumn="1" w:lastColumn="1" w:noHBand="0" w:noVBand="0"/>
      </w:tblPr>
      <w:tblGrid>
        <w:gridCol w:w="6929"/>
        <w:gridCol w:w="2603"/>
      </w:tblGrid>
      <w:tr w:rsidR="002E309B" w:rsidRPr="00126A71" w14:paraId="7D5D2989" w14:textId="77777777">
        <w:trPr>
          <w:trHeight w:val="222"/>
        </w:trPr>
        <w:tc>
          <w:tcPr>
            <w:tcW w:w="6929" w:type="dxa"/>
          </w:tcPr>
          <w:p w14:paraId="4F096418" w14:textId="30A75986" w:rsidR="00DD344E" w:rsidRPr="00126A71" w:rsidRDefault="00DD344E">
            <w:pPr>
              <w:pStyle w:val="TableParagraph"/>
              <w:spacing w:before="0" w:line="203" w:lineRule="exact"/>
              <w:ind w:left="200"/>
              <w:rPr>
                <w:b/>
              </w:rPr>
            </w:pPr>
          </w:p>
        </w:tc>
        <w:tc>
          <w:tcPr>
            <w:tcW w:w="2603" w:type="dxa"/>
          </w:tcPr>
          <w:p w14:paraId="3651DB77" w14:textId="6E880E5C" w:rsidR="00DD344E" w:rsidRPr="00126A71" w:rsidRDefault="00625393">
            <w:pPr>
              <w:pStyle w:val="TableParagraph"/>
              <w:spacing w:before="0" w:line="203" w:lineRule="exact"/>
              <w:ind w:left="594"/>
              <w:rPr>
                <w:b/>
              </w:rPr>
            </w:pPr>
            <w:r>
              <w:rPr>
                <w:b/>
              </w:rPr>
              <w:t>October 20</w:t>
            </w:r>
            <w:r w:rsidR="00BB6DD9" w:rsidRPr="00126A71">
              <w:rPr>
                <w:b/>
              </w:rPr>
              <w:t>,</w:t>
            </w:r>
            <w:r w:rsidR="00BB6DD9" w:rsidRPr="00126A71">
              <w:rPr>
                <w:b/>
                <w:spacing w:val="-3"/>
              </w:rPr>
              <w:t xml:space="preserve"> </w:t>
            </w:r>
            <w:r w:rsidR="00BB6DD9" w:rsidRPr="00126A71">
              <w:rPr>
                <w:b/>
              </w:rPr>
              <w:t>202</w:t>
            </w:r>
            <w:r w:rsidR="00DB5121" w:rsidRPr="00126A71">
              <w:rPr>
                <w:b/>
              </w:rPr>
              <w:t>5</w:t>
            </w:r>
          </w:p>
        </w:tc>
      </w:tr>
    </w:tbl>
    <w:p w14:paraId="1A6063CD" w14:textId="1B642F7B" w:rsidR="004C7BF2" w:rsidRPr="00126A71" w:rsidRDefault="004C7BF2" w:rsidP="00DB5121">
      <w:pPr>
        <w:pStyle w:val="TableParagraph"/>
        <w:spacing w:before="0" w:line="203" w:lineRule="exact"/>
        <w:jc w:val="center"/>
        <w:rPr>
          <w:b/>
        </w:rPr>
      </w:pPr>
      <w:r w:rsidRPr="00126A71">
        <w:rPr>
          <w:b/>
          <w:noProof/>
        </w:rPr>
        <mc:AlternateContent>
          <mc:Choice Requires="wps">
            <w:drawing>
              <wp:anchor distT="0" distB="0" distL="114300" distR="114300" simplePos="0" relativeHeight="251658240" behindDoc="0" locked="0" layoutInCell="1" allowOverlap="1" wp14:anchorId="6D7E51DB" wp14:editId="65FF0505">
                <wp:simplePos x="0" y="0"/>
                <wp:positionH relativeFrom="margin">
                  <wp:posOffset>1146175</wp:posOffset>
                </wp:positionH>
                <wp:positionV relativeFrom="paragraph">
                  <wp:posOffset>36195</wp:posOffset>
                </wp:positionV>
                <wp:extent cx="3790950" cy="1143000"/>
                <wp:effectExtent l="0" t="0" r="0" b="0"/>
                <wp:wrapNone/>
                <wp:docPr id="687169578" name="Rectangle 1"/>
                <wp:cNvGraphicFramePr/>
                <a:graphic xmlns:a="http://schemas.openxmlformats.org/drawingml/2006/main">
                  <a:graphicData uri="http://schemas.microsoft.com/office/word/2010/wordprocessingShape">
                    <wps:wsp>
                      <wps:cNvSpPr/>
                      <wps:spPr>
                        <a:xfrm>
                          <a:off x="0" y="0"/>
                          <a:ext cx="3790950" cy="1143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2FBFB2D" w14:textId="7255229A" w:rsidR="004C7BF2" w:rsidRDefault="00625393" w:rsidP="004C7BF2">
                            <w:pPr>
                              <w:jc w:val="center"/>
                            </w:pPr>
                            <w:r>
                              <w:rPr>
                                <w:noProof/>
                              </w:rPr>
                              <w:drawing>
                                <wp:inline distT="0" distB="0" distL="0" distR="0" wp14:anchorId="471D5F03" wp14:editId="5396065C">
                                  <wp:extent cx="1123950" cy="97221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for a compan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7274" cy="9750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
            <w:pict>
              <v:rect id="Rectangle 1" style="position:absolute;left:0;text-align:left;margin-left:90.25pt;margin-top:2.85pt;width:298.5pt;height:9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" w14:anchorId="6D7E51DB">
                <v:textbox>
                  <w:txbxContent>
                    <w:p w:rsidR="004C7BF2" w:rsidP="004C7BF2" w:rsidRDefault="00625393" w14:paraId="32FBFB2D" w14:textId="7255229A">
                      <w:pPr>
                        <w:jc w:val="center"/>
                      </w:pPr>
                      <w:r>
                        <w:rPr>
                          <w:noProof/>
                        </w:rPr>
                        <w:drawing>
                          <wp:inline distT="0" distB="0" distL="0" distR="0" wp14:anchorId="471D5F03" wp14:editId="5396065C">
                            <wp:extent cx="1123950" cy="972217"/>
                            <wp:effectExtent l="0" t="0" r="0" b="0"/>
                            <wp:docPr id="3"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for a compan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274" cy="975092"/>
                                    </a:xfrm>
                                    <a:prstGeom prst="rect">
                                      <a:avLst/>
                                    </a:prstGeom>
                                    <a:noFill/>
                                    <a:ln>
                                      <a:noFill/>
                                    </a:ln>
                                  </pic:spPr>
                                </pic:pic>
                              </a:graphicData>
                            </a:graphic>
                          </wp:inline>
                        </w:drawing>
                      </w:r>
                    </w:p>
                  </w:txbxContent>
                </v:textbox>
                <w10:wrap anchorx="margin"/>
              </v:rect>
            </w:pict>
          </mc:Fallback>
        </mc:AlternateContent>
      </w:r>
    </w:p>
    <w:p w14:paraId="57B00887" w14:textId="77777777" w:rsidR="004C7BF2" w:rsidRPr="00126A71" w:rsidRDefault="004C7BF2" w:rsidP="00DB5121">
      <w:pPr>
        <w:pStyle w:val="TableParagraph"/>
        <w:spacing w:before="0" w:line="203" w:lineRule="exact"/>
        <w:jc w:val="center"/>
        <w:rPr>
          <w:b/>
        </w:rPr>
      </w:pPr>
    </w:p>
    <w:p w14:paraId="786D8786" w14:textId="77777777" w:rsidR="004C7BF2" w:rsidRPr="00126A71" w:rsidRDefault="004C7BF2" w:rsidP="00DB5121">
      <w:pPr>
        <w:pStyle w:val="TableParagraph"/>
        <w:spacing w:before="0" w:line="203" w:lineRule="exact"/>
        <w:jc w:val="center"/>
        <w:rPr>
          <w:b/>
        </w:rPr>
      </w:pPr>
    </w:p>
    <w:p w14:paraId="7F513B66" w14:textId="77777777" w:rsidR="004C7BF2" w:rsidRPr="00126A71" w:rsidRDefault="004C7BF2" w:rsidP="00DB5121">
      <w:pPr>
        <w:pStyle w:val="TableParagraph"/>
        <w:spacing w:before="0" w:line="203" w:lineRule="exact"/>
        <w:jc w:val="center"/>
        <w:rPr>
          <w:b/>
        </w:rPr>
      </w:pPr>
    </w:p>
    <w:p w14:paraId="5F4A7A53" w14:textId="77777777" w:rsidR="004C7BF2" w:rsidRPr="00126A71" w:rsidRDefault="004C7BF2" w:rsidP="00DB5121">
      <w:pPr>
        <w:pStyle w:val="TableParagraph"/>
        <w:spacing w:before="0" w:line="203" w:lineRule="exact"/>
        <w:jc w:val="center"/>
        <w:rPr>
          <w:b/>
        </w:rPr>
      </w:pPr>
    </w:p>
    <w:p w14:paraId="077C542F" w14:textId="77777777" w:rsidR="004C7BF2" w:rsidRPr="00126A71" w:rsidRDefault="004C7BF2" w:rsidP="00DB5121">
      <w:pPr>
        <w:pStyle w:val="TableParagraph"/>
        <w:spacing w:before="0" w:line="203" w:lineRule="exact"/>
        <w:jc w:val="center"/>
        <w:rPr>
          <w:b/>
        </w:rPr>
      </w:pPr>
    </w:p>
    <w:p w14:paraId="4998EC19" w14:textId="77777777" w:rsidR="00625393" w:rsidRDefault="00625393" w:rsidP="00DB5121">
      <w:pPr>
        <w:pStyle w:val="TableParagraph"/>
        <w:spacing w:before="0" w:line="203" w:lineRule="exact"/>
        <w:jc w:val="center"/>
        <w:rPr>
          <w:b/>
        </w:rPr>
      </w:pPr>
    </w:p>
    <w:p w14:paraId="2914DEEB" w14:textId="77777777" w:rsidR="00625393" w:rsidRDefault="00625393" w:rsidP="00DB5121">
      <w:pPr>
        <w:pStyle w:val="TableParagraph"/>
        <w:spacing w:before="0" w:line="203" w:lineRule="exact"/>
        <w:jc w:val="center"/>
        <w:rPr>
          <w:b/>
        </w:rPr>
      </w:pPr>
    </w:p>
    <w:p w14:paraId="000667ED" w14:textId="77777777" w:rsidR="00625393" w:rsidRDefault="00625393" w:rsidP="00625393">
      <w:pPr>
        <w:pStyle w:val="TableParagraph"/>
        <w:spacing w:before="0" w:line="203" w:lineRule="exact"/>
        <w:rPr>
          <w:b/>
        </w:rPr>
      </w:pPr>
    </w:p>
    <w:p w14:paraId="38E8F559" w14:textId="77777777" w:rsidR="00625393" w:rsidRDefault="00625393" w:rsidP="00DB5121">
      <w:pPr>
        <w:pStyle w:val="TableParagraph"/>
        <w:spacing w:before="0" w:line="203" w:lineRule="exact"/>
        <w:jc w:val="center"/>
        <w:rPr>
          <w:b/>
        </w:rPr>
      </w:pPr>
    </w:p>
    <w:p w14:paraId="3177AA73" w14:textId="77C6527B" w:rsidR="00DB5121" w:rsidRDefault="00625393" w:rsidP="00DB5121">
      <w:pPr>
        <w:pStyle w:val="TableParagraph"/>
        <w:spacing w:before="0" w:line="203" w:lineRule="exact"/>
        <w:jc w:val="center"/>
        <w:rPr>
          <w:b/>
        </w:rPr>
      </w:pPr>
      <w:r>
        <w:rPr>
          <w:b/>
        </w:rPr>
        <w:t xml:space="preserve">FORTUNE BAY </w:t>
      </w:r>
      <w:r w:rsidR="00DB5121" w:rsidRPr="00126A71">
        <w:rPr>
          <w:b/>
        </w:rPr>
        <w:t>CORP.</w:t>
      </w:r>
    </w:p>
    <w:p w14:paraId="7C3AF19B" w14:textId="77777777" w:rsidR="005F4F91" w:rsidRPr="00126A71" w:rsidRDefault="005F4F91" w:rsidP="00DB5121">
      <w:pPr>
        <w:pStyle w:val="TableParagraph"/>
        <w:spacing w:before="0" w:line="203" w:lineRule="exact"/>
        <w:jc w:val="center"/>
        <w:rPr>
          <w:b/>
        </w:rPr>
      </w:pPr>
    </w:p>
    <w:p w14:paraId="1BAFE5B2" w14:textId="2591D1F1" w:rsidR="00DB5121" w:rsidRPr="00126A71" w:rsidRDefault="00BB6DD9" w:rsidP="00DB5121">
      <w:pPr>
        <w:pStyle w:val="TableParagraph"/>
        <w:spacing w:before="0" w:line="203" w:lineRule="exact"/>
        <w:jc w:val="center"/>
      </w:pPr>
      <w:r w:rsidRPr="00126A71">
        <w:t>(the</w:t>
      </w:r>
      <w:r w:rsidRPr="00126A71">
        <w:rPr>
          <w:spacing w:val="-5"/>
        </w:rPr>
        <w:t xml:space="preserve"> </w:t>
      </w:r>
      <w:r w:rsidR="00FF58F8" w:rsidRPr="00126A71">
        <w:t>“</w:t>
      </w:r>
      <w:r w:rsidRPr="00126A71">
        <w:rPr>
          <w:b/>
          <w:bCs/>
        </w:rPr>
        <w:t>Company</w:t>
      </w:r>
      <w:r w:rsidR="00FF58F8" w:rsidRPr="00126A71">
        <w:t>”</w:t>
      </w:r>
      <w:r w:rsidRPr="00126A71">
        <w:rPr>
          <w:spacing w:val="-4"/>
        </w:rPr>
        <w:t xml:space="preserve"> </w:t>
      </w:r>
      <w:r w:rsidRPr="00126A71">
        <w:t>or</w:t>
      </w:r>
      <w:r w:rsidRPr="00126A71">
        <w:rPr>
          <w:spacing w:val="-5"/>
        </w:rPr>
        <w:t xml:space="preserve"> </w:t>
      </w:r>
      <w:r w:rsidR="00FF58F8" w:rsidRPr="00126A71">
        <w:t>“</w:t>
      </w:r>
      <w:r w:rsidR="00667F94">
        <w:rPr>
          <w:b/>
          <w:bCs/>
        </w:rPr>
        <w:t>Fortune Bay</w:t>
      </w:r>
      <w:r w:rsidR="00FF58F8" w:rsidRPr="00126A71">
        <w:t>”</w:t>
      </w:r>
      <w:r w:rsidRPr="00126A71">
        <w:t>)</w:t>
      </w:r>
    </w:p>
    <w:p w14:paraId="46DCCBF4" w14:textId="77777777" w:rsidR="00DB5121" w:rsidRPr="00126A71" w:rsidRDefault="00DB5121" w:rsidP="00DB5121">
      <w:pPr>
        <w:pStyle w:val="TableParagraph"/>
        <w:spacing w:before="0" w:line="203" w:lineRule="exact"/>
        <w:jc w:val="center"/>
      </w:pPr>
    </w:p>
    <w:p w14:paraId="3CEE3CF7" w14:textId="281C41F9" w:rsidR="00DD344E" w:rsidRPr="00126A71" w:rsidRDefault="00DB5121" w:rsidP="00DB5121">
      <w:pPr>
        <w:pStyle w:val="TableParagraph"/>
        <w:spacing w:before="0" w:line="203" w:lineRule="exact"/>
        <w:rPr>
          <w:b/>
          <w:bCs/>
        </w:rPr>
      </w:pPr>
      <w:r w:rsidRPr="00126A71">
        <w:rPr>
          <w:b/>
          <w:bCs/>
        </w:rPr>
        <w:t xml:space="preserve">PART 1: </w:t>
      </w:r>
      <w:r w:rsidR="007966A3" w:rsidRPr="00126A71">
        <w:rPr>
          <w:b/>
          <w:bCs/>
        </w:rPr>
        <w:t>SUMMARY</w:t>
      </w:r>
      <w:r w:rsidR="007966A3" w:rsidRPr="00126A71">
        <w:rPr>
          <w:b/>
          <w:bCs/>
          <w:spacing w:val="-2"/>
        </w:rPr>
        <w:t xml:space="preserve"> </w:t>
      </w:r>
      <w:r w:rsidR="007966A3" w:rsidRPr="00126A71">
        <w:rPr>
          <w:b/>
          <w:bCs/>
        </w:rPr>
        <w:t>OF OFFERING</w:t>
      </w:r>
    </w:p>
    <w:p w14:paraId="3EBE2200" w14:textId="77777777" w:rsidR="00DB5121" w:rsidRPr="00126A71" w:rsidRDefault="00DB5121" w:rsidP="00DB5121">
      <w:pPr>
        <w:spacing w:before="3"/>
        <w:rPr>
          <w:b/>
        </w:rPr>
      </w:pPr>
    </w:p>
    <w:p w14:paraId="1AA5AA79" w14:textId="52DB3647" w:rsidR="00DD344E" w:rsidRPr="00126A71" w:rsidRDefault="007966A3" w:rsidP="00DB5121">
      <w:pPr>
        <w:spacing w:before="3"/>
        <w:rPr>
          <w:b/>
        </w:rPr>
      </w:pPr>
      <w:r w:rsidRPr="00126A71">
        <w:rPr>
          <w:b/>
        </w:rPr>
        <w:t>What</w:t>
      </w:r>
      <w:r w:rsidRPr="00126A71">
        <w:rPr>
          <w:b/>
          <w:spacing w:val="-3"/>
        </w:rPr>
        <w:t xml:space="preserve"> </w:t>
      </w:r>
      <w:r w:rsidRPr="00126A71">
        <w:rPr>
          <w:b/>
        </w:rPr>
        <w:t>are</w:t>
      </w:r>
      <w:r w:rsidRPr="00126A71">
        <w:rPr>
          <w:b/>
          <w:spacing w:val="-3"/>
        </w:rPr>
        <w:t xml:space="preserve"> </w:t>
      </w:r>
      <w:r w:rsidRPr="00126A71">
        <w:rPr>
          <w:b/>
        </w:rPr>
        <w:t>we</w:t>
      </w:r>
      <w:r w:rsidRPr="00126A71">
        <w:rPr>
          <w:b/>
          <w:spacing w:val="-2"/>
        </w:rPr>
        <w:t xml:space="preserve"> </w:t>
      </w:r>
      <w:r w:rsidRPr="00126A71">
        <w:rPr>
          <w:b/>
        </w:rPr>
        <w:t>offering?</w:t>
      </w:r>
    </w:p>
    <w:p w14:paraId="60899628" w14:textId="77777777" w:rsidR="00DD344E" w:rsidRPr="00126A71" w:rsidRDefault="00DD344E" w:rsidP="007827D1">
      <w:pPr>
        <w:pStyle w:val="BodyText"/>
        <w:spacing w:after="120"/>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465"/>
      </w:tblGrid>
      <w:tr w:rsidR="002E309B" w:rsidRPr="00126A71" w14:paraId="3D6A5ED2" w14:textId="77777777" w:rsidTr="00BB61F7">
        <w:trPr>
          <w:trHeight w:val="2896"/>
        </w:trPr>
        <w:tc>
          <w:tcPr>
            <w:tcW w:w="1886" w:type="dxa"/>
            <w:shd w:val="clear" w:color="auto" w:fill="D9D9D9"/>
          </w:tcPr>
          <w:p w14:paraId="19527133" w14:textId="77777777" w:rsidR="00DD344E" w:rsidRPr="00126A71" w:rsidRDefault="007966A3">
            <w:pPr>
              <w:pStyle w:val="TableParagraph"/>
              <w:ind w:left="107"/>
              <w:rPr>
                <w:b/>
                <w:szCs w:val="20"/>
              </w:rPr>
            </w:pPr>
            <w:r w:rsidRPr="00126A71">
              <w:rPr>
                <w:b/>
                <w:szCs w:val="20"/>
              </w:rPr>
              <w:t>Offering:</w:t>
            </w:r>
          </w:p>
        </w:tc>
        <w:tc>
          <w:tcPr>
            <w:tcW w:w="7465" w:type="dxa"/>
          </w:tcPr>
          <w:p w14:paraId="29AC6F0D" w14:textId="765B0178" w:rsidR="007B6EE2" w:rsidRPr="00126A71" w:rsidRDefault="00DB5121" w:rsidP="007B6EE2">
            <w:pPr>
              <w:pStyle w:val="TableParagraph"/>
              <w:spacing w:before="60" w:line="276" w:lineRule="auto"/>
              <w:ind w:left="105" w:right="97"/>
              <w:jc w:val="both"/>
              <w:rPr>
                <w:szCs w:val="20"/>
              </w:rPr>
            </w:pPr>
            <w:r w:rsidRPr="00126A71">
              <w:rPr>
                <w:szCs w:val="20"/>
              </w:rPr>
              <w:t xml:space="preserve">The Company </w:t>
            </w:r>
            <w:r w:rsidR="0079613A" w:rsidRPr="00126A71">
              <w:rPr>
                <w:szCs w:val="20"/>
              </w:rPr>
              <w:t>is hereby offering for sale</w:t>
            </w:r>
            <w:r w:rsidRPr="00126A71">
              <w:rPr>
                <w:szCs w:val="20"/>
              </w:rPr>
              <w:t xml:space="preserve">: </w:t>
            </w:r>
          </w:p>
          <w:p w14:paraId="3638AA59" w14:textId="18880189" w:rsidR="007B6EE2" w:rsidRPr="00126A71" w:rsidRDefault="00DB5121" w:rsidP="007B6EE2">
            <w:pPr>
              <w:pStyle w:val="TableParagraph"/>
              <w:spacing w:before="60" w:line="276" w:lineRule="auto"/>
              <w:ind w:left="720" w:right="97"/>
              <w:jc w:val="both"/>
              <w:rPr>
                <w:szCs w:val="20"/>
              </w:rPr>
            </w:pPr>
            <w:r w:rsidRPr="00126A71">
              <w:rPr>
                <w:szCs w:val="20"/>
              </w:rPr>
              <w:t xml:space="preserve">(i) </w:t>
            </w:r>
            <w:r w:rsidR="00A35F7E">
              <w:rPr>
                <w:szCs w:val="20"/>
              </w:rPr>
              <w:t>1,438,900</w:t>
            </w:r>
            <w:r w:rsidR="00D227B7">
              <w:rPr>
                <w:szCs w:val="20"/>
              </w:rPr>
              <w:t xml:space="preserve"> </w:t>
            </w:r>
            <w:r w:rsidRPr="00126A71">
              <w:rPr>
                <w:szCs w:val="20"/>
              </w:rPr>
              <w:t>common shares of the Company (“</w:t>
            </w:r>
            <w:r w:rsidRPr="00126A71">
              <w:rPr>
                <w:b/>
                <w:bCs/>
                <w:szCs w:val="20"/>
              </w:rPr>
              <w:t>Common Shares</w:t>
            </w:r>
            <w:r w:rsidRPr="00126A71">
              <w:rPr>
                <w:szCs w:val="20"/>
              </w:rPr>
              <w:t xml:space="preserve">”) that qualify as “flow-through shares” within the meaning of subsection 66(15) of the </w:t>
            </w:r>
            <w:r w:rsidRPr="00126A71">
              <w:rPr>
                <w:i/>
                <w:iCs/>
                <w:szCs w:val="20"/>
              </w:rPr>
              <w:t>Income Tax Act</w:t>
            </w:r>
            <w:r w:rsidRPr="00126A71">
              <w:rPr>
                <w:szCs w:val="20"/>
              </w:rPr>
              <w:t xml:space="preserve"> (Canada) (the “</w:t>
            </w:r>
            <w:r w:rsidRPr="00126A71">
              <w:rPr>
                <w:b/>
                <w:bCs/>
                <w:szCs w:val="20"/>
              </w:rPr>
              <w:t>Tax Act</w:t>
            </w:r>
            <w:r w:rsidRPr="00126A71">
              <w:rPr>
                <w:szCs w:val="20"/>
              </w:rPr>
              <w:t>”) (each, a “</w:t>
            </w:r>
            <w:r w:rsidRPr="00126A71">
              <w:rPr>
                <w:b/>
                <w:bCs/>
                <w:szCs w:val="20"/>
              </w:rPr>
              <w:t>CFT Share</w:t>
            </w:r>
            <w:r w:rsidRPr="00126A71">
              <w:rPr>
                <w:szCs w:val="20"/>
              </w:rPr>
              <w:t>”)</w:t>
            </w:r>
            <w:r w:rsidR="007B6EE2" w:rsidRPr="00126A71">
              <w:rPr>
                <w:szCs w:val="20"/>
              </w:rPr>
              <w:t xml:space="preserve"> at a price of $</w:t>
            </w:r>
            <w:r w:rsidR="00A35F7E">
              <w:rPr>
                <w:szCs w:val="20"/>
              </w:rPr>
              <w:t>1.39</w:t>
            </w:r>
            <w:r w:rsidR="007B6EE2" w:rsidRPr="00126A71">
              <w:rPr>
                <w:szCs w:val="20"/>
              </w:rPr>
              <w:t xml:space="preserve"> per CFT Share for gross proceeds of </w:t>
            </w:r>
            <w:r w:rsidR="007B6EE2" w:rsidRPr="00D227B7">
              <w:rPr>
                <w:szCs w:val="20"/>
              </w:rPr>
              <w:t>$</w:t>
            </w:r>
            <w:r w:rsidR="00A35F7E">
              <w:rPr>
                <w:szCs w:val="20"/>
              </w:rPr>
              <w:t>2,000,071</w:t>
            </w:r>
            <w:r w:rsidRPr="00D227B7">
              <w:rPr>
                <w:szCs w:val="20"/>
              </w:rPr>
              <w:t>;</w:t>
            </w:r>
            <w:r w:rsidRPr="00126A71">
              <w:rPr>
                <w:szCs w:val="20"/>
              </w:rPr>
              <w:t xml:space="preserve"> and </w:t>
            </w:r>
          </w:p>
          <w:p w14:paraId="69EC6E22" w14:textId="4B24D8D9" w:rsidR="007B6EE2" w:rsidRPr="00126A71" w:rsidRDefault="00DB5121" w:rsidP="007B6EE2">
            <w:pPr>
              <w:pStyle w:val="TableParagraph"/>
              <w:spacing w:before="60" w:line="276" w:lineRule="auto"/>
              <w:ind w:left="720" w:right="97"/>
              <w:jc w:val="both"/>
              <w:rPr>
                <w:szCs w:val="20"/>
              </w:rPr>
            </w:pPr>
            <w:r w:rsidRPr="00126A71">
              <w:rPr>
                <w:szCs w:val="20"/>
              </w:rPr>
              <w:t xml:space="preserve">(ii) </w:t>
            </w:r>
            <w:r w:rsidR="00A35F7E">
              <w:rPr>
                <w:szCs w:val="20"/>
              </w:rPr>
              <w:t>6,000,000</w:t>
            </w:r>
            <w:r w:rsidR="00D227B7">
              <w:rPr>
                <w:szCs w:val="20"/>
              </w:rPr>
              <w:t xml:space="preserve"> </w:t>
            </w:r>
            <w:r w:rsidRPr="00126A71">
              <w:rPr>
                <w:szCs w:val="20"/>
              </w:rPr>
              <w:t>Common Shares (each, a</w:t>
            </w:r>
            <w:r w:rsidR="00C3694B">
              <w:rPr>
                <w:szCs w:val="20"/>
              </w:rPr>
              <w:t>n</w:t>
            </w:r>
            <w:r w:rsidRPr="00126A71">
              <w:rPr>
                <w:szCs w:val="20"/>
              </w:rPr>
              <w:t xml:space="preserve"> “</w:t>
            </w:r>
            <w:r w:rsidRPr="00126A71">
              <w:rPr>
                <w:b/>
                <w:bCs/>
                <w:szCs w:val="20"/>
              </w:rPr>
              <w:t>HD Share</w:t>
            </w:r>
            <w:r w:rsidRPr="00126A71">
              <w:rPr>
                <w:szCs w:val="20"/>
              </w:rPr>
              <w:t xml:space="preserve">”, </w:t>
            </w:r>
            <w:r w:rsidR="00C3694B">
              <w:rPr>
                <w:szCs w:val="20"/>
              </w:rPr>
              <w:t xml:space="preserve">and </w:t>
            </w:r>
            <w:r w:rsidRPr="00126A71">
              <w:rPr>
                <w:szCs w:val="20"/>
              </w:rPr>
              <w:t>collectively with the CFT Shares, the “</w:t>
            </w:r>
            <w:r w:rsidR="00BB61F7" w:rsidRPr="00126A71">
              <w:rPr>
                <w:b/>
                <w:bCs/>
                <w:szCs w:val="20"/>
              </w:rPr>
              <w:t>Offered Shares</w:t>
            </w:r>
            <w:r w:rsidRPr="00126A71">
              <w:rPr>
                <w:szCs w:val="20"/>
              </w:rPr>
              <w:t>”)</w:t>
            </w:r>
            <w:r w:rsidR="007B6EE2" w:rsidRPr="00126A71">
              <w:rPr>
                <w:szCs w:val="20"/>
              </w:rPr>
              <w:t xml:space="preserve"> at a price of $</w:t>
            </w:r>
            <w:r w:rsidR="00A35F7E">
              <w:rPr>
                <w:szCs w:val="20"/>
              </w:rPr>
              <w:t>1.00</w:t>
            </w:r>
            <w:r w:rsidR="007B6EE2" w:rsidRPr="00126A71">
              <w:rPr>
                <w:szCs w:val="20"/>
              </w:rPr>
              <w:t xml:space="preserve"> per HD Share for gross proceeds of $</w:t>
            </w:r>
            <w:r w:rsidR="00A35F7E">
              <w:rPr>
                <w:szCs w:val="20"/>
              </w:rPr>
              <w:t>6,000,000</w:t>
            </w:r>
            <w:r w:rsidR="007B6EE2" w:rsidRPr="00D227B7">
              <w:rPr>
                <w:szCs w:val="20"/>
              </w:rPr>
              <w:t>;</w:t>
            </w:r>
          </w:p>
          <w:p w14:paraId="58973F75" w14:textId="5055A80E" w:rsidR="00DB5121" w:rsidRPr="00126A71" w:rsidRDefault="007B6EE2" w:rsidP="007B6EE2">
            <w:pPr>
              <w:pStyle w:val="TableParagraph"/>
              <w:spacing w:before="60" w:line="276" w:lineRule="auto"/>
              <w:ind w:left="105" w:right="97"/>
              <w:jc w:val="both"/>
              <w:rPr>
                <w:szCs w:val="20"/>
              </w:rPr>
            </w:pPr>
            <w:r w:rsidRPr="00126A71">
              <w:rPr>
                <w:szCs w:val="20"/>
              </w:rPr>
              <w:t xml:space="preserve">for aggregate gross proceeds of </w:t>
            </w:r>
            <w:r w:rsidRPr="00D227B7">
              <w:rPr>
                <w:szCs w:val="20"/>
              </w:rPr>
              <w:t>$</w:t>
            </w:r>
            <w:r w:rsidR="00A35F7E">
              <w:rPr>
                <w:szCs w:val="20"/>
              </w:rPr>
              <w:t>8,000,071</w:t>
            </w:r>
            <w:r w:rsidR="0032441D" w:rsidRPr="00126A71">
              <w:t xml:space="preserve"> </w:t>
            </w:r>
            <w:r w:rsidRPr="00126A71">
              <w:t>(the “</w:t>
            </w:r>
            <w:r w:rsidRPr="00126A71">
              <w:rPr>
                <w:b/>
              </w:rPr>
              <w:t>Offering</w:t>
            </w:r>
            <w:r w:rsidRPr="00126A71">
              <w:t xml:space="preserve">”) </w:t>
            </w:r>
            <w:r w:rsidRPr="00126A71">
              <w:rPr>
                <w:szCs w:val="20"/>
              </w:rPr>
              <w:t xml:space="preserve">pursuant to the listed issuer financing exemption under Part 5A of National Instrument 45-106 </w:t>
            </w:r>
            <w:r w:rsidRPr="00126A71">
              <w:rPr>
                <w:i/>
                <w:szCs w:val="20"/>
              </w:rPr>
              <w:t>Prospectus Exemptions</w:t>
            </w:r>
            <w:r w:rsidR="00C3694B">
              <w:rPr>
                <w:i/>
                <w:szCs w:val="20"/>
              </w:rPr>
              <w:t xml:space="preserve"> </w:t>
            </w:r>
            <w:r w:rsidR="00C3694B" w:rsidRPr="00126A71">
              <w:rPr>
                <w:szCs w:val="20"/>
              </w:rPr>
              <w:t>(“</w:t>
            </w:r>
            <w:r w:rsidR="00C3694B" w:rsidRPr="00126A71">
              <w:rPr>
                <w:b/>
                <w:szCs w:val="20"/>
              </w:rPr>
              <w:t>NI 45-106</w:t>
            </w:r>
            <w:r w:rsidR="00C3694B" w:rsidRPr="00126A71">
              <w:rPr>
                <w:szCs w:val="20"/>
              </w:rPr>
              <w:t>”)</w:t>
            </w:r>
            <w:r w:rsidRPr="00126A71">
              <w:rPr>
                <w:iCs/>
                <w:szCs w:val="20"/>
              </w:rPr>
              <w:t>, as amended by Coordinated Blanket Order 45-935</w:t>
            </w:r>
            <w:r w:rsidR="0055720C">
              <w:rPr>
                <w:iCs/>
                <w:szCs w:val="20"/>
              </w:rPr>
              <w:t xml:space="preserve"> </w:t>
            </w:r>
            <w:r w:rsidR="0055720C">
              <w:rPr>
                <w:i/>
                <w:szCs w:val="20"/>
              </w:rPr>
              <w:t>– Exemptions from Certain Conditions of the Listed Issuer Financing Exemption</w:t>
            </w:r>
            <w:r w:rsidRPr="00126A71">
              <w:rPr>
                <w:szCs w:val="20"/>
              </w:rPr>
              <w:t>.</w:t>
            </w:r>
          </w:p>
        </w:tc>
      </w:tr>
      <w:tr w:rsidR="002E309B" w:rsidRPr="00126A71" w14:paraId="384FDB43" w14:textId="77777777">
        <w:trPr>
          <w:trHeight w:val="383"/>
        </w:trPr>
        <w:tc>
          <w:tcPr>
            <w:tcW w:w="1886" w:type="dxa"/>
            <w:shd w:val="clear" w:color="auto" w:fill="D9D9D9"/>
          </w:tcPr>
          <w:p w14:paraId="34C466AC" w14:textId="0F2F45C3" w:rsidR="00DD344E" w:rsidRPr="00126A71" w:rsidRDefault="007966A3">
            <w:pPr>
              <w:pStyle w:val="TableParagraph"/>
              <w:ind w:left="107"/>
              <w:rPr>
                <w:b/>
                <w:szCs w:val="20"/>
              </w:rPr>
            </w:pPr>
            <w:r w:rsidRPr="00126A71">
              <w:rPr>
                <w:b/>
                <w:szCs w:val="20"/>
              </w:rPr>
              <w:t>Offering</w:t>
            </w:r>
            <w:r w:rsidRPr="00126A71">
              <w:rPr>
                <w:b/>
                <w:spacing w:val="-4"/>
                <w:szCs w:val="20"/>
              </w:rPr>
              <w:t xml:space="preserve"> </w:t>
            </w:r>
            <w:r w:rsidRPr="00126A71">
              <w:rPr>
                <w:b/>
                <w:szCs w:val="20"/>
              </w:rPr>
              <w:t>Price</w:t>
            </w:r>
            <w:r w:rsidR="00DB5121" w:rsidRPr="00126A71">
              <w:rPr>
                <w:b/>
                <w:szCs w:val="20"/>
              </w:rPr>
              <w:t>s:</w:t>
            </w:r>
          </w:p>
        </w:tc>
        <w:tc>
          <w:tcPr>
            <w:tcW w:w="7465" w:type="dxa"/>
          </w:tcPr>
          <w:p w14:paraId="6DA399CA" w14:textId="68D36C14" w:rsidR="00DD344E" w:rsidRPr="00126A71" w:rsidRDefault="007966A3" w:rsidP="003A49A3">
            <w:pPr>
              <w:pStyle w:val="TableParagraph"/>
              <w:ind w:left="105"/>
              <w:jc w:val="both"/>
              <w:rPr>
                <w:szCs w:val="20"/>
              </w:rPr>
            </w:pPr>
            <w:r w:rsidRPr="00126A71">
              <w:rPr>
                <w:szCs w:val="20"/>
              </w:rPr>
              <w:t>$</w:t>
            </w:r>
            <w:r w:rsidR="00A35F7E">
              <w:rPr>
                <w:szCs w:val="20"/>
              </w:rPr>
              <w:t>1.39</w:t>
            </w:r>
            <w:r w:rsidR="00DB5121" w:rsidRPr="00126A71">
              <w:rPr>
                <w:szCs w:val="20"/>
              </w:rPr>
              <w:t xml:space="preserve"> per CFT Share and $</w:t>
            </w:r>
            <w:r w:rsidR="00A35F7E">
              <w:rPr>
                <w:szCs w:val="20"/>
              </w:rPr>
              <w:t>1.00</w:t>
            </w:r>
            <w:r w:rsidR="00DB5121" w:rsidRPr="00126A71">
              <w:rPr>
                <w:szCs w:val="20"/>
              </w:rPr>
              <w:t xml:space="preserve"> per HD Share.</w:t>
            </w:r>
          </w:p>
        </w:tc>
      </w:tr>
      <w:tr w:rsidR="001F083B" w:rsidRPr="00126A71" w14:paraId="44C5832B" w14:textId="77777777" w:rsidTr="007B6EE2">
        <w:trPr>
          <w:trHeight w:val="171"/>
        </w:trPr>
        <w:tc>
          <w:tcPr>
            <w:tcW w:w="1886" w:type="dxa"/>
            <w:shd w:val="clear" w:color="auto" w:fill="D9D9D9"/>
          </w:tcPr>
          <w:p w14:paraId="589D4EF6" w14:textId="05624E57" w:rsidR="001F083B" w:rsidRPr="00126A71" w:rsidRDefault="001F083B">
            <w:pPr>
              <w:pStyle w:val="TableParagraph"/>
              <w:spacing w:before="62"/>
              <w:ind w:left="107"/>
              <w:rPr>
                <w:b/>
                <w:szCs w:val="20"/>
              </w:rPr>
            </w:pPr>
            <w:r>
              <w:rPr>
                <w:b/>
                <w:szCs w:val="20"/>
              </w:rPr>
              <w:t>Underwriters’ Option:</w:t>
            </w:r>
          </w:p>
        </w:tc>
        <w:tc>
          <w:tcPr>
            <w:tcW w:w="7465" w:type="dxa"/>
          </w:tcPr>
          <w:p w14:paraId="25EB0903" w14:textId="15D8068A" w:rsidR="001F083B" w:rsidRPr="00126A71" w:rsidRDefault="001F083B" w:rsidP="00880995">
            <w:pPr>
              <w:pStyle w:val="TableParagraph"/>
              <w:spacing w:before="62"/>
              <w:ind w:left="105" w:right="117"/>
              <w:jc w:val="both"/>
              <w:rPr>
                <w:szCs w:val="20"/>
              </w:rPr>
            </w:pPr>
            <w:r>
              <w:rPr>
                <w:szCs w:val="20"/>
              </w:rPr>
              <w:t xml:space="preserve">The Company has granted the Underwriters (as defined below) an </w:t>
            </w:r>
            <w:r w:rsidRPr="001F083B">
              <w:rPr>
                <w:szCs w:val="20"/>
              </w:rPr>
              <w:t>option (the “</w:t>
            </w:r>
            <w:r w:rsidRPr="001F083B">
              <w:rPr>
                <w:b/>
                <w:bCs/>
                <w:szCs w:val="20"/>
              </w:rPr>
              <w:t>Option</w:t>
            </w:r>
            <w:r w:rsidRPr="001F083B">
              <w:rPr>
                <w:szCs w:val="20"/>
              </w:rPr>
              <w:t xml:space="preserve">”) to increase the size of the Offering by up to an additional $2,000,000 (in HD Shares), on the same terms and conditions, by giving written notice of the exercise of the Option, or a part thereof, to the Company at any time up to 48 hours prior to the Closing Date (as defined </w:t>
            </w:r>
            <w:r w:rsidR="00964A85">
              <w:rPr>
                <w:szCs w:val="20"/>
              </w:rPr>
              <w:t>below</w:t>
            </w:r>
            <w:r w:rsidRPr="001F083B">
              <w:rPr>
                <w:szCs w:val="20"/>
              </w:rPr>
              <w:t>)</w:t>
            </w:r>
            <w:r w:rsidR="009B0B89">
              <w:rPr>
                <w:szCs w:val="20"/>
              </w:rPr>
              <w:t>.</w:t>
            </w:r>
            <w:r w:rsidR="005A3839">
              <w:rPr>
                <w:szCs w:val="20"/>
              </w:rPr>
              <w:t xml:space="preserve"> </w:t>
            </w:r>
            <w:r w:rsidR="00964A85">
              <w:rPr>
                <w:szCs w:val="20"/>
              </w:rPr>
              <w:t xml:space="preserve">All references herein to the “Offering”, </w:t>
            </w:r>
            <w:r w:rsidR="00964A85">
              <w:rPr>
                <w:szCs w:val="20"/>
              </w:rPr>
              <w:lastRenderedPageBreak/>
              <w:t>the “HD Shares”, and the “Offered Shares” including any HD Shares that may be issued in connection with an exercise of the Option.</w:t>
            </w:r>
          </w:p>
        </w:tc>
      </w:tr>
      <w:tr w:rsidR="002E309B" w:rsidRPr="00126A71" w14:paraId="23DFAF7B" w14:textId="77777777" w:rsidTr="007B6EE2">
        <w:trPr>
          <w:trHeight w:val="171"/>
        </w:trPr>
        <w:tc>
          <w:tcPr>
            <w:tcW w:w="1886" w:type="dxa"/>
            <w:shd w:val="clear" w:color="auto" w:fill="D9D9D9"/>
          </w:tcPr>
          <w:p w14:paraId="6A9B5CFF" w14:textId="42E22362" w:rsidR="00DD344E" w:rsidRPr="00126A71" w:rsidRDefault="007B6EE2">
            <w:pPr>
              <w:pStyle w:val="TableParagraph"/>
              <w:spacing w:before="62"/>
              <w:ind w:left="107"/>
              <w:rPr>
                <w:b/>
                <w:szCs w:val="20"/>
              </w:rPr>
            </w:pPr>
            <w:r w:rsidRPr="00126A71">
              <w:rPr>
                <w:b/>
                <w:szCs w:val="20"/>
              </w:rPr>
              <w:lastRenderedPageBreak/>
              <w:t>Underwriter</w:t>
            </w:r>
            <w:r w:rsidR="003A2B1B">
              <w:rPr>
                <w:b/>
                <w:szCs w:val="20"/>
              </w:rPr>
              <w:t>s</w:t>
            </w:r>
            <w:r w:rsidR="007966A3" w:rsidRPr="00126A71">
              <w:rPr>
                <w:b/>
                <w:szCs w:val="20"/>
              </w:rPr>
              <w:t>:</w:t>
            </w:r>
          </w:p>
        </w:tc>
        <w:tc>
          <w:tcPr>
            <w:tcW w:w="7465" w:type="dxa"/>
          </w:tcPr>
          <w:p w14:paraId="21D2825B" w14:textId="1B7F9CCC" w:rsidR="00DB5121" w:rsidRPr="00126A71" w:rsidRDefault="00DB5121" w:rsidP="00880995">
            <w:pPr>
              <w:pStyle w:val="TableParagraph"/>
              <w:spacing w:before="62"/>
              <w:ind w:left="105" w:right="117"/>
              <w:jc w:val="both"/>
              <w:rPr>
                <w:szCs w:val="20"/>
              </w:rPr>
            </w:pPr>
            <w:r w:rsidRPr="00126A71">
              <w:rPr>
                <w:szCs w:val="20"/>
              </w:rPr>
              <w:t>The Offering is being made</w:t>
            </w:r>
            <w:r w:rsidR="0032441D" w:rsidRPr="00126A71">
              <w:rPr>
                <w:szCs w:val="20"/>
              </w:rPr>
              <w:t xml:space="preserve"> on a “bought deal” </w:t>
            </w:r>
            <w:r w:rsidR="00307A32">
              <w:rPr>
                <w:szCs w:val="20"/>
              </w:rPr>
              <w:t xml:space="preserve">private placement </w:t>
            </w:r>
            <w:r w:rsidR="0032441D" w:rsidRPr="00126A71">
              <w:rPr>
                <w:szCs w:val="20"/>
              </w:rPr>
              <w:t>basis</w:t>
            </w:r>
            <w:r w:rsidRPr="00126A71">
              <w:rPr>
                <w:szCs w:val="20"/>
              </w:rPr>
              <w:t xml:space="preserve"> pursuant to an underwriting agreement to be entered into </w:t>
            </w:r>
            <w:r w:rsidR="003A2B1B">
              <w:rPr>
                <w:szCs w:val="20"/>
              </w:rPr>
              <w:t>among</w:t>
            </w:r>
            <w:r w:rsidRPr="00126A71">
              <w:rPr>
                <w:szCs w:val="20"/>
              </w:rPr>
              <w:t xml:space="preserve"> the Company and </w:t>
            </w:r>
            <w:r w:rsidR="0006773A">
              <w:rPr>
                <w:szCs w:val="20"/>
              </w:rPr>
              <w:t>Cormark Securities Inc.</w:t>
            </w:r>
            <w:r w:rsidRPr="00126A71">
              <w:rPr>
                <w:szCs w:val="20"/>
              </w:rPr>
              <w:t xml:space="preserve"> (the “</w:t>
            </w:r>
            <w:r w:rsidR="003A2B1B">
              <w:rPr>
                <w:b/>
                <w:bCs/>
                <w:szCs w:val="20"/>
              </w:rPr>
              <w:t xml:space="preserve">Lead </w:t>
            </w:r>
            <w:r w:rsidRPr="00126A71">
              <w:rPr>
                <w:b/>
                <w:bCs/>
                <w:szCs w:val="20"/>
              </w:rPr>
              <w:t>Underwriter</w:t>
            </w:r>
            <w:r w:rsidRPr="00126A71">
              <w:rPr>
                <w:szCs w:val="20"/>
              </w:rPr>
              <w:t xml:space="preserve">”), as </w:t>
            </w:r>
            <w:r w:rsidR="003A2B1B">
              <w:rPr>
                <w:szCs w:val="20"/>
              </w:rPr>
              <w:t>lead</w:t>
            </w:r>
            <w:r w:rsidR="0055720C">
              <w:rPr>
                <w:szCs w:val="20"/>
              </w:rPr>
              <w:t xml:space="preserve"> </w:t>
            </w:r>
            <w:r w:rsidRPr="00126A71">
              <w:rPr>
                <w:szCs w:val="20"/>
              </w:rPr>
              <w:t xml:space="preserve">underwriter and </w:t>
            </w:r>
            <w:r w:rsidR="003A2B1B">
              <w:rPr>
                <w:szCs w:val="20"/>
              </w:rPr>
              <w:t xml:space="preserve">sole </w:t>
            </w:r>
            <w:r w:rsidRPr="00126A71">
              <w:rPr>
                <w:szCs w:val="20"/>
              </w:rPr>
              <w:t>bookrunner</w:t>
            </w:r>
            <w:r w:rsidR="00880995">
              <w:rPr>
                <w:szCs w:val="20"/>
              </w:rPr>
              <w:t xml:space="preserve">, </w:t>
            </w:r>
            <w:r w:rsidR="003A2B1B">
              <w:rPr>
                <w:szCs w:val="20"/>
              </w:rPr>
              <w:t>and a syndicate of underwriters (together with the Lead Underwriter, the “</w:t>
            </w:r>
            <w:r w:rsidR="003A2B1B" w:rsidRPr="003A2B1B">
              <w:rPr>
                <w:b/>
                <w:bCs/>
                <w:szCs w:val="20"/>
              </w:rPr>
              <w:t>Underwriters</w:t>
            </w:r>
            <w:r w:rsidR="003A2B1B">
              <w:rPr>
                <w:szCs w:val="20"/>
              </w:rPr>
              <w:t xml:space="preserve">”) </w:t>
            </w:r>
            <w:r w:rsidRPr="003A2B1B">
              <w:rPr>
                <w:szCs w:val="20"/>
              </w:rPr>
              <w:t>on</w:t>
            </w:r>
            <w:r w:rsidRPr="00126A71">
              <w:rPr>
                <w:szCs w:val="20"/>
              </w:rPr>
              <w:t xml:space="preserve"> or before the Closing Date. The Underwriter</w:t>
            </w:r>
            <w:r w:rsidR="003A2B1B">
              <w:rPr>
                <w:szCs w:val="20"/>
              </w:rPr>
              <w:t>s</w:t>
            </w:r>
            <w:r w:rsidRPr="00126A71">
              <w:rPr>
                <w:szCs w:val="20"/>
              </w:rPr>
              <w:t xml:space="preserve"> will endeavor to arrange for substituted purchasers (“</w:t>
            </w:r>
            <w:r w:rsidRPr="00126A71">
              <w:rPr>
                <w:b/>
                <w:bCs/>
                <w:szCs w:val="20"/>
              </w:rPr>
              <w:t>Substituted Purchasers</w:t>
            </w:r>
            <w:r w:rsidRPr="00126A71">
              <w:rPr>
                <w:szCs w:val="20"/>
              </w:rPr>
              <w:t>”)</w:t>
            </w:r>
            <w:r w:rsidR="002256BC">
              <w:rPr>
                <w:szCs w:val="20"/>
              </w:rPr>
              <w:t xml:space="preserve"> of the Offered Shares</w:t>
            </w:r>
            <w:r w:rsidRPr="00126A71">
              <w:rPr>
                <w:szCs w:val="20"/>
              </w:rPr>
              <w:t xml:space="preserve"> with the effect that such </w:t>
            </w:r>
            <w:r w:rsidR="002256BC">
              <w:rPr>
                <w:szCs w:val="20"/>
              </w:rPr>
              <w:t>S</w:t>
            </w:r>
            <w:r w:rsidRPr="00126A71">
              <w:rPr>
                <w:szCs w:val="20"/>
              </w:rPr>
              <w:t xml:space="preserve">ubstituted </w:t>
            </w:r>
            <w:r w:rsidR="002256BC">
              <w:rPr>
                <w:szCs w:val="20"/>
              </w:rPr>
              <w:t>P</w:t>
            </w:r>
            <w:r w:rsidRPr="00126A71">
              <w:rPr>
                <w:szCs w:val="20"/>
              </w:rPr>
              <w:t xml:space="preserve">urchasers will be the initial purchasers of the Offered Shares. To the extent that Substituted Purchasers purchase any Offered Shares, the </w:t>
            </w:r>
            <w:r w:rsidR="0006773A">
              <w:rPr>
                <w:szCs w:val="20"/>
              </w:rPr>
              <w:t>Underwriter</w:t>
            </w:r>
            <w:r w:rsidR="003A2B1B">
              <w:rPr>
                <w:szCs w:val="20"/>
              </w:rPr>
              <w:t>s</w:t>
            </w:r>
            <w:r w:rsidRPr="00126A71">
              <w:rPr>
                <w:szCs w:val="20"/>
              </w:rPr>
              <w:t xml:space="preserve"> shall not be obligated to purchase the Offered Shares so purchased by such Substituted Purchasers. </w:t>
            </w:r>
          </w:p>
        </w:tc>
      </w:tr>
      <w:tr w:rsidR="00BB61F7" w:rsidRPr="00126A71" w14:paraId="19B1B854" w14:textId="77777777" w:rsidTr="00BB61F7">
        <w:trPr>
          <w:trHeight w:val="529"/>
        </w:trPr>
        <w:tc>
          <w:tcPr>
            <w:tcW w:w="1886" w:type="dxa"/>
            <w:shd w:val="clear" w:color="auto" w:fill="D9D9D9"/>
          </w:tcPr>
          <w:p w14:paraId="22EFC168" w14:textId="0DCCA1A0" w:rsidR="00BB61F7" w:rsidRPr="00126A71" w:rsidRDefault="007B6EE2">
            <w:pPr>
              <w:pStyle w:val="TableParagraph"/>
              <w:spacing w:before="62"/>
              <w:ind w:left="107"/>
              <w:rPr>
                <w:b/>
                <w:szCs w:val="20"/>
              </w:rPr>
            </w:pPr>
            <w:r w:rsidRPr="00126A71">
              <w:rPr>
                <w:b/>
                <w:szCs w:val="20"/>
              </w:rPr>
              <w:t>Flow-Through Tax Considerations</w:t>
            </w:r>
            <w:r w:rsidR="00BB61F7" w:rsidRPr="00126A71">
              <w:rPr>
                <w:b/>
                <w:szCs w:val="20"/>
              </w:rPr>
              <w:t>:</w:t>
            </w:r>
          </w:p>
        </w:tc>
        <w:tc>
          <w:tcPr>
            <w:tcW w:w="7465" w:type="dxa"/>
          </w:tcPr>
          <w:p w14:paraId="4436840D" w14:textId="24F69C46" w:rsidR="00307A32" w:rsidRDefault="00307A32" w:rsidP="00307A32">
            <w:pPr>
              <w:pStyle w:val="TableParagraph"/>
              <w:spacing w:before="62"/>
              <w:ind w:left="105" w:right="117"/>
              <w:jc w:val="both"/>
              <w:rPr>
                <w:iCs/>
              </w:rPr>
            </w:pPr>
            <w:r>
              <w:rPr>
                <w:iCs/>
              </w:rPr>
              <w:t>T</w:t>
            </w:r>
            <w:r w:rsidRPr="003B3C00">
              <w:rPr>
                <w:iCs/>
              </w:rPr>
              <w:t xml:space="preserve">he gross proceeds from the issuance of the </w:t>
            </w:r>
            <w:r>
              <w:rPr>
                <w:iCs/>
              </w:rPr>
              <w:t xml:space="preserve">CFT Shares </w:t>
            </w:r>
            <w:r w:rsidRPr="003B3C00">
              <w:rPr>
                <w:iCs/>
              </w:rPr>
              <w:t xml:space="preserve">will be used to incur </w:t>
            </w:r>
            <w:r w:rsidR="00B504B6">
              <w:rPr>
                <w:iCs/>
              </w:rPr>
              <w:t xml:space="preserve">eligible </w:t>
            </w:r>
            <w:r w:rsidR="00DD1A04">
              <w:rPr>
                <w:iCs/>
              </w:rPr>
              <w:t>“</w:t>
            </w:r>
            <w:r w:rsidRPr="003B3C00">
              <w:rPr>
                <w:iCs/>
              </w:rPr>
              <w:t>Canadian exploration expenses</w:t>
            </w:r>
            <w:r w:rsidR="00DD1A04">
              <w:rPr>
                <w:iCs/>
              </w:rPr>
              <w:t>”</w:t>
            </w:r>
            <w:r w:rsidR="00DD1A04" w:rsidRPr="003B3C00">
              <w:rPr>
                <w:iCs/>
              </w:rPr>
              <w:t xml:space="preserve"> </w:t>
            </w:r>
            <w:r w:rsidRPr="003B3C00">
              <w:rPr>
                <w:iCs/>
              </w:rPr>
              <w:t>as defined in subsection 66.1(6) of the</w:t>
            </w:r>
            <w:r w:rsidRPr="003B3C00">
              <w:rPr>
                <w:i/>
                <w:iCs/>
              </w:rPr>
              <w:t xml:space="preserve"> </w:t>
            </w:r>
            <w:r w:rsidRPr="00A0786A">
              <w:rPr>
                <w:bCs/>
                <w:iCs/>
              </w:rPr>
              <w:t>Tax Act</w:t>
            </w:r>
            <w:r>
              <w:rPr>
                <w:b/>
                <w:iCs/>
              </w:rPr>
              <w:t xml:space="preserve"> </w:t>
            </w:r>
            <w:r w:rsidRPr="003B3C00">
              <w:rPr>
                <w:iCs/>
              </w:rPr>
              <w:t xml:space="preserve">that qualify as </w:t>
            </w:r>
            <w:r w:rsidR="00DD1A04">
              <w:rPr>
                <w:iCs/>
              </w:rPr>
              <w:t>“</w:t>
            </w:r>
            <w:r w:rsidRPr="003B3C00">
              <w:rPr>
                <w:iCs/>
              </w:rPr>
              <w:t>flow-through mining expenditures</w:t>
            </w:r>
            <w:r w:rsidR="00DD1A04">
              <w:rPr>
                <w:iCs/>
              </w:rPr>
              <w:t>”</w:t>
            </w:r>
            <w:r w:rsidR="00DD1A04" w:rsidRPr="003B3C00">
              <w:t xml:space="preserve"> </w:t>
            </w:r>
            <w:r w:rsidRPr="003B3C00">
              <w:t xml:space="preserve">as defined in subsection 127(9) of the Tax Act </w:t>
            </w:r>
            <w:r w:rsidRPr="003B3C00">
              <w:rPr>
                <w:iCs/>
              </w:rPr>
              <w:t xml:space="preserve">(the </w:t>
            </w:r>
            <w:r w:rsidR="00DD1A04">
              <w:rPr>
                <w:iCs/>
              </w:rPr>
              <w:t>“</w:t>
            </w:r>
            <w:r w:rsidRPr="003B3C00">
              <w:rPr>
                <w:b/>
                <w:iCs/>
              </w:rPr>
              <w:t>Qualifying Expenditures</w:t>
            </w:r>
            <w:r w:rsidR="00DD1A04">
              <w:rPr>
                <w:iCs/>
              </w:rPr>
              <w:t>”</w:t>
            </w:r>
            <w:r w:rsidR="00DD1A04" w:rsidRPr="003B3C00">
              <w:rPr>
                <w:iCs/>
              </w:rPr>
              <w:t>)</w:t>
            </w:r>
            <w:r w:rsidR="00DD1A04">
              <w:rPr>
                <w:iCs/>
              </w:rPr>
              <w:t xml:space="preserve"> related to the Company’s </w:t>
            </w:r>
            <w:r w:rsidR="00964A85">
              <w:rPr>
                <w:iCs/>
              </w:rPr>
              <w:t>Goldfields Project (as defined below) in Saskatchewan</w:t>
            </w:r>
            <w:r w:rsidR="00DD1A04" w:rsidRPr="003B3C00">
              <w:rPr>
                <w:iCs/>
              </w:rPr>
              <w:t xml:space="preserve">. </w:t>
            </w:r>
            <w:r w:rsidRPr="003B3C00">
              <w:rPr>
                <w:iCs/>
              </w:rPr>
              <w:t xml:space="preserve">The Qualifying Expenditures will be incurred on or before December 31, 2026 and will be renounced by the Company to the initial purchasers of the </w:t>
            </w:r>
            <w:r>
              <w:rPr>
                <w:iCs/>
              </w:rPr>
              <w:t xml:space="preserve">CFT Shares </w:t>
            </w:r>
            <w:r w:rsidRPr="003B3C00">
              <w:rPr>
                <w:iCs/>
              </w:rPr>
              <w:t>with an effective date no later than December 31, 2025 in an aggregate amount not less than the gross proceeds raised from the issue of the</w:t>
            </w:r>
            <w:r>
              <w:rPr>
                <w:iCs/>
              </w:rPr>
              <w:t xml:space="preserve"> CFT Shares</w:t>
            </w:r>
            <w:r w:rsidR="008565D7">
              <w:rPr>
                <w:iCs/>
              </w:rPr>
              <w:t>.</w:t>
            </w:r>
          </w:p>
          <w:p w14:paraId="4BA12C12" w14:textId="07A06D0A" w:rsidR="00BB61F7" w:rsidRDefault="00307A32" w:rsidP="00307A32">
            <w:pPr>
              <w:pStyle w:val="TableParagraph"/>
              <w:spacing w:before="62"/>
              <w:ind w:left="105" w:right="117"/>
              <w:jc w:val="both"/>
            </w:pPr>
            <w:r w:rsidRPr="003B3C00">
              <w:t xml:space="preserve">In the event the Company is unable to renounce Qualifying Expenditures effective on or prior to December 31, 2025 for each </w:t>
            </w:r>
            <w:r>
              <w:t xml:space="preserve">CFT Share </w:t>
            </w:r>
            <w:r w:rsidRPr="003B3C00">
              <w:t xml:space="preserve">purchased in an aggregate amount not less than the gross proceeds raised from the issue of the </w:t>
            </w:r>
            <w:r>
              <w:t xml:space="preserve">CFT Shares </w:t>
            </w:r>
            <w:r w:rsidRPr="003B3C00">
              <w:t xml:space="preserve">and/or the Qualifying Expenditures are otherwise reduced by the Canada Revenue Agency, the Company will indemnify each </w:t>
            </w:r>
            <w:r w:rsidR="002C4971">
              <w:t xml:space="preserve">CFT Share </w:t>
            </w:r>
            <w:r w:rsidRPr="003B3C00">
              <w:t>subscriber for the additional taxes payable by such subscriber as a result of the Company’s failure to renounce the Qualifying Expenditures or as a result of the reduction</w:t>
            </w:r>
            <w:r w:rsidR="00F10A44">
              <w:t xml:space="preserve"> (except to the extent that such additional taxes are payable as a result of a subscriber’s participation in a Follow-On Transaction (as defined below)</w:t>
            </w:r>
            <w:r w:rsidR="00C83CCA">
              <w:t xml:space="preserve"> that causes the CFT Shares to be “prescribed shares” as defined in the Tax Act</w:t>
            </w:r>
            <w:r w:rsidR="00F10A44">
              <w:t>)</w:t>
            </w:r>
            <w:r w:rsidRPr="003B3C00">
              <w:t>, as agreed.</w:t>
            </w:r>
          </w:p>
          <w:p w14:paraId="62DB7F5B" w14:textId="329865E2" w:rsidR="00F10A44" w:rsidRPr="00307A32" w:rsidRDefault="00F10A44" w:rsidP="00307A32">
            <w:pPr>
              <w:pStyle w:val="TableParagraph"/>
              <w:spacing w:before="62"/>
              <w:ind w:left="105" w:right="117"/>
              <w:jc w:val="both"/>
            </w:pPr>
            <w:r>
              <w:t>T</w:t>
            </w:r>
            <w:r w:rsidRPr="0009221F">
              <w:t xml:space="preserve">he </w:t>
            </w:r>
            <w:r>
              <w:t xml:space="preserve">Company understands that certain subscribers </w:t>
            </w:r>
            <w:r w:rsidRPr="0009221F">
              <w:t>may be</w:t>
            </w:r>
            <w:r>
              <w:t xml:space="preserve"> </w:t>
            </w:r>
            <w:r w:rsidRPr="0009221F">
              <w:t xml:space="preserve">acquiring </w:t>
            </w:r>
            <w:r>
              <w:t>C</w:t>
            </w:r>
            <w:r w:rsidRPr="0009221F">
              <w:t xml:space="preserve">FT </w:t>
            </w:r>
            <w:r>
              <w:t>Shares</w:t>
            </w:r>
            <w:r w:rsidRPr="0009221F">
              <w:t xml:space="preserve"> with the (i) intention of donating all or a portion of such CFT </w:t>
            </w:r>
            <w:r>
              <w:t>Shares</w:t>
            </w:r>
            <w:r w:rsidRPr="0009221F">
              <w:t xml:space="preserve"> to a “qualified donee” as defined in the Tax Act as part of a charitable donation arrangement promoted by a third party or (ii) immediately selling </w:t>
            </w:r>
            <w:r>
              <w:t>CFT Shares</w:t>
            </w:r>
            <w:r w:rsidRPr="0009221F">
              <w:t xml:space="preserve"> to a third party (each of (i) and (ii), a “</w:t>
            </w:r>
            <w:r w:rsidRPr="00EA31CD">
              <w:rPr>
                <w:b/>
                <w:bCs/>
              </w:rPr>
              <w:t>Follow-On Transaction</w:t>
            </w:r>
            <w:r w:rsidRPr="0009221F">
              <w:t>”)</w:t>
            </w:r>
            <w:r>
              <w:t>. Neither the</w:t>
            </w:r>
            <w:r w:rsidRPr="0009221F">
              <w:t xml:space="preserve"> </w:t>
            </w:r>
            <w:r>
              <w:t>Company, the Underwriter</w:t>
            </w:r>
            <w:r w:rsidR="003A2B1B">
              <w:t>s</w:t>
            </w:r>
            <w:r w:rsidRPr="0009221F">
              <w:t xml:space="preserve"> </w:t>
            </w:r>
            <w:r>
              <w:t>n</w:t>
            </w:r>
            <w:r w:rsidRPr="0009221F">
              <w:t xml:space="preserve">or </w:t>
            </w:r>
            <w:r>
              <w:t>their respective</w:t>
            </w:r>
            <w:r w:rsidRPr="0009221F">
              <w:t xml:space="preserve"> counsel (a) </w:t>
            </w:r>
            <w:r>
              <w:t xml:space="preserve">has provided </w:t>
            </w:r>
            <w:r w:rsidRPr="0009221F">
              <w:t>any representations</w:t>
            </w:r>
            <w:r>
              <w:t xml:space="preserve"> or </w:t>
            </w:r>
            <w:r w:rsidRPr="0009221F">
              <w:t xml:space="preserve">warranties in respect of the tax consequences or potential tax benefits of investing in the </w:t>
            </w:r>
            <w:r>
              <w:t>C</w:t>
            </w:r>
            <w:r w:rsidRPr="0009221F">
              <w:t xml:space="preserve">FT Shares and participating in </w:t>
            </w:r>
            <w:r>
              <w:t xml:space="preserve">a </w:t>
            </w:r>
            <w:r w:rsidRPr="0009221F">
              <w:t xml:space="preserve">Follow-On Transaction, </w:t>
            </w:r>
            <w:r>
              <w:t>or</w:t>
            </w:r>
            <w:r w:rsidRPr="0009221F">
              <w:t xml:space="preserve"> (b) </w:t>
            </w:r>
            <w:r>
              <w:t xml:space="preserve">provided any assurances </w:t>
            </w:r>
            <w:r w:rsidRPr="0009221F">
              <w:t>that</w:t>
            </w:r>
            <w:r>
              <w:t xml:space="preserve"> a subscriber’s participation in a</w:t>
            </w:r>
            <w:r w:rsidRPr="0009221F">
              <w:t xml:space="preserve"> Follow-On Transaction </w:t>
            </w:r>
            <w:r>
              <w:t xml:space="preserve">would </w:t>
            </w:r>
            <w:r w:rsidRPr="0009221F">
              <w:t xml:space="preserve">not, in and of itself, cause the </w:t>
            </w:r>
            <w:r>
              <w:t>C</w:t>
            </w:r>
            <w:r w:rsidRPr="0009221F">
              <w:t>FT Shares to be “prescribed shares” within the meaning of section 6202.1 of the regulations to the Tax Act.</w:t>
            </w:r>
          </w:p>
        </w:tc>
      </w:tr>
      <w:tr w:rsidR="002E309B" w:rsidRPr="00126A71" w14:paraId="19F79917" w14:textId="77777777" w:rsidTr="00CE5440">
        <w:trPr>
          <w:trHeight w:val="520"/>
        </w:trPr>
        <w:tc>
          <w:tcPr>
            <w:tcW w:w="1886" w:type="dxa"/>
            <w:shd w:val="clear" w:color="auto" w:fill="D9D9D9"/>
          </w:tcPr>
          <w:p w14:paraId="14943012" w14:textId="77777777" w:rsidR="00DD344E" w:rsidRPr="00126A71" w:rsidRDefault="007966A3">
            <w:pPr>
              <w:pStyle w:val="TableParagraph"/>
              <w:ind w:left="107"/>
              <w:rPr>
                <w:b/>
                <w:szCs w:val="20"/>
              </w:rPr>
            </w:pPr>
            <w:r w:rsidRPr="00126A71">
              <w:rPr>
                <w:b/>
                <w:szCs w:val="20"/>
              </w:rPr>
              <w:t>Closing</w:t>
            </w:r>
            <w:r w:rsidRPr="00126A71">
              <w:rPr>
                <w:b/>
                <w:spacing w:val="-3"/>
                <w:szCs w:val="20"/>
              </w:rPr>
              <w:t xml:space="preserve"> </w:t>
            </w:r>
            <w:r w:rsidRPr="00126A71">
              <w:rPr>
                <w:b/>
                <w:szCs w:val="20"/>
              </w:rPr>
              <w:t>Date:</w:t>
            </w:r>
          </w:p>
        </w:tc>
        <w:tc>
          <w:tcPr>
            <w:tcW w:w="7465" w:type="dxa"/>
          </w:tcPr>
          <w:p w14:paraId="1404DF4F" w14:textId="075289D2" w:rsidR="00DD344E" w:rsidRPr="00126A71" w:rsidRDefault="007966A3" w:rsidP="003A49A3">
            <w:pPr>
              <w:pStyle w:val="TableParagraph"/>
              <w:ind w:left="105"/>
              <w:jc w:val="both"/>
              <w:rPr>
                <w:szCs w:val="20"/>
              </w:rPr>
            </w:pPr>
            <w:r w:rsidRPr="00126A71">
              <w:rPr>
                <w:szCs w:val="20"/>
              </w:rPr>
              <w:t xml:space="preserve">Closing </w:t>
            </w:r>
            <w:r w:rsidR="0079613A" w:rsidRPr="00126A71">
              <w:rPr>
                <w:szCs w:val="20"/>
              </w:rPr>
              <w:t>will</w:t>
            </w:r>
            <w:r w:rsidRPr="00126A71">
              <w:rPr>
                <w:szCs w:val="20"/>
              </w:rPr>
              <w:t xml:space="preserve"> occur o</w:t>
            </w:r>
            <w:r w:rsidR="000302A8" w:rsidRPr="00126A71">
              <w:rPr>
                <w:szCs w:val="20"/>
              </w:rPr>
              <w:t>n</w:t>
            </w:r>
            <w:r w:rsidR="000302A8" w:rsidRPr="00126A71">
              <w:rPr>
                <w:spacing w:val="-4"/>
                <w:szCs w:val="20"/>
              </w:rPr>
              <w:t xml:space="preserve"> </w:t>
            </w:r>
            <w:r w:rsidR="000302A8" w:rsidRPr="00126A71">
              <w:rPr>
                <w:szCs w:val="20"/>
              </w:rPr>
              <w:t>or</w:t>
            </w:r>
            <w:r w:rsidR="000302A8" w:rsidRPr="00126A71">
              <w:rPr>
                <w:spacing w:val="-2"/>
                <w:szCs w:val="20"/>
              </w:rPr>
              <w:t xml:space="preserve"> </w:t>
            </w:r>
            <w:r w:rsidR="000302A8" w:rsidRPr="00126A71">
              <w:rPr>
                <w:szCs w:val="20"/>
              </w:rPr>
              <w:t>about</w:t>
            </w:r>
            <w:r w:rsidR="000302A8" w:rsidRPr="00126A71">
              <w:rPr>
                <w:spacing w:val="-3"/>
                <w:szCs w:val="20"/>
              </w:rPr>
              <w:t xml:space="preserve"> </w:t>
            </w:r>
            <w:r w:rsidR="008B5F4D">
              <w:rPr>
                <w:spacing w:val="-3"/>
                <w:szCs w:val="20"/>
              </w:rPr>
              <w:t>Octo</w:t>
            </w:r>
            <w:r w:rsidR="003A2B1B">
              <w:rPr>
                <w:spacing w:val="-3"/>
                <w:szCs w:val="20"/>
              </w:rPr>
              <w:t xml:space="preserve">ber </w:t>
            </w:r>
            <w:r w:rsidR="00A35F7E">
              <w:rPr>
                <w:spacing w:val="-3"/>
                <w:szCs w:val="20"/>
              </w:rPr>
              <w:t>30</w:t>
            </w:r>
            <w:r w:rsidR="00BB61F7" w:rsidRPr="00126A71">
              <w:rPr>
                <w:spacing w:val="-3"/>
                <w:szCs w:val="20"/>
              </w:rPr>
              <w:t>, 2025</w:t>
            </w:r>
            <w:r w:rsidR="00FB2DDA" w:rsidRPr="00126A71">
              <w:rPr>
                <w:szCs w:val="20"/>
              </w:rPr>
              <w:t xml:space="preserve"> </w:t>
            </w:r>
            <w:r w:rsidR="00FD2C86" w:rsidRPr="00126A71">
              <w:rPr>
                <w:szCs w:val="20"/>
              </w:rPr>
              <w:t xml:space="preserve">or such other date as the Company and the </w:t>
            </w:r>
            <w:r w:rsidR="003A2B1B">
              <w:rPr>
                <w:szCs w:val="20"/>
              </w:rPr>
              <w:t xml:space="preserve">Lead </w:t>
            </w:r>
            <w:r w:rsidR="00FD2C86" w:rsidRPr="00126A71">
              <w:rPr>
                <w:szCs w:val="20"/>
              </w:rPr>
              <w:t xml:space="preserve">Underwriter may determine </w:t>
            </w:r>
            <w:r w:rsidR="000302A8" w:rsidRPr="00126A71">
              <w:rPr>
                <w:szCs w:val="20"/>
              </w:rPr>
              <w:t>(the</w:t>
            </w:r>
            <w:r w:rsidR="000302A8" w:rsidRPr="00126A71">
              <w:rPr>
                <w:spacing w:val="-4"/>
                <w:szCs w:val="20"/>
              </w:rPr>
              <w:t xml:space="preserve"> </w:t>
            </w:r>
            <w:r w:rsidR="00FF58F8" w:rsidRPr="00126A71">
              <w:rPr>
                <w:szCs w:val="20"/>
              </w:rPr>
              <w:t>“</w:t>
            </w:r>
            <w:r w:rsidR="000302A8" w:rsidRPr="00126A71">
              <w:rPr>
                <w:b/>
                <w:szCs w:val="20"/>
              </w:rPr>
              <w:t>Closing</w:t>
            </w:r>
            <w:r w:rsidR="000302A8" w:rsidRPr="00126A71">
              <w:rPr>
                <w:b/>
                <w:spacing w:val="1"/>
                <w:szCs w:val="20"/>
              </w:rPr>
              <w:t xml:space="preserve"> </w:t>
            </w:r>
            <w:r w:rsidR="000302A8" w:rsidRPr="00126A71">
              <w:rPr>
                <w:b/>
                <w:szCs w:val="20"/>
              </w:rPr>
              <w:t>Date</w:t>
            </w:r>
            <w:r w:rsidR="00FF58F8" w:rsidRPr="00126A71">
              <w:rPr>
                <w:szCs w:val="20"/>
              </w:rPr>
              <w:t>”</w:t>
            </w:r>
            <w:r w:rsidR="000302A8" w:rsidRPr="00126A71">
              <w:rPr>
                <w:szCs w:val="20"/>
              </w:rPr>
              <w:t>).</w:t>
            </w:r>
          </w:p>
        </w:tc>
      </w:tr>
      <w:tr w:rsidR="002E309B" w:rsidRPr="00126A71" w14:paraId="42CAF5B8" w14:textId="77777777" w:rsidTr="00B20DD9">
        <w:trPr>
          <w:trHeight w:val="637"/>
        </w:trPr>
        <w:tc>
          <w:tcPr>
            <w:tcW w:w="1886" w:type="dxa"/>
            <w:shd w:val="clear" w:color="auto" w:fill="D9D9D9"/>
          </w:tcPr>
          <w:p w14:paraId="4AB8D475" w14:textId="77777777" w:rsidR="00DD344E" w:rsidRPr="00126A71" w:rsidRDefault="007966A3">
            <w:pPr>
              <w:pStyle w:val="TableParagraph"/>
              <w:spacing w:before="60"/>
              <w:ind w:left="107"/>
              <w:rPr>
                <w:b/>
                <w:szCs w:val="20"/>
              </w:rPr>
            </w:pPr>
            <w:r w:rsidRPr="00126A71">
              <w:rPr>
                <w:b/>
                <w:szCs w:val="20"/>
              </w:rPr>
              <w:t>Exchange:</w:t>
            </w:r>
          </w:p>
        </w:tc>
        <w:tc>
          <w:tcPr>
            <w:tcW w:w="7465" w:type="dxa"/>
          </w:tcPr>
          <w:p w14:paraId="2FBB62D3" w14:textId="2B1D6E5E" w:rsidR="00DD344E" w:rsidRPr="00126A71" w:rsidRDefault="007966A3" w:rsidP="003A49A3">
            <w:pPr>
              <w:pStyle w:val="TableParagraph"/>
              <w:spacing w:before="60" w:line="276" w:lineRule="auto"/>
              <w:ind w:left="105" w:right="97"/>
              <w:jc w:val="both"/>
              <w:rPr>
                <w:szCs w:val="20"/>
              </w:rPr>
            </w:pPr>
            <w:r w:rsidRPr="00126A71">
              <w:rPr>
                <w:szCs w:val="20"/>
              </w:rPr>
              <w:t>The</w:t>
            </w:r>
            <w:r w:rsidRPr="00126A71">
              <w:rPr>
                <w:spacing w:val="-6"/>
                <w:szCs w:val="20"/>
              </w:rPr>
              <w:t xml:space="preserve"> </w:t>
            </w:r>
            <w:r w:rsidRPr="00126A71">
              <w:rPr>
                <w:szCs w:val="20"/>
              </w:rPr>
              <w:t>Common</w:t>
            </w:r>
            <w:r w:rsidRPr="00126A71">
              <w:rPr>
                <w:spacing w:val="-4"/>
                <w:szCs w:val="20"/>
              </w:rPr>
              <w:t xml:space="preserve"> </w:t>
            </w:r>
            <w:r w:rsidRPr="00126A71">
              <w:rPr>
                <w:szCs w:val="20"/>
              </w:rPr>
              <w:t>Shares</w:t>
            </w:r>
            <w:r w:rsidRPr="00126A71">
              <w:rPr>
                <w:spacing w:val="-4"/>
                <w:szCs w:val="20"/>
              </w:rPr>
              <w:t xml:space="preserve"> </w:t>
            </w:r>
            <w:r w:rsidRPr="00126A71">
              <w:rPr>
                <w:szCs w:val="20"/>
              </w:rPr>
              <w:t>are</w:t>
            </w:r>
            <w:r w:rsidRPr="00126A71">
              <w:rPr>
                <w:spacing w:val="-2"/>
                <w:szCs w:val="20"/>
              </w:rPr>
              <w:t xml:space="preserve"> </w:t>
            </w:r>
            <w:r w:rsidRPr="00126A71">
              <w:rPr>
                <w:szCs w:val="20"/>
              </w:rPr>
              <w:t>listed</w:t>
            </w:r>
            <w:r w:rsidRPr="00126A71">
              <w:rPr>
                <w:spacing w:val="-6"/>
                <w:szCs w:val="20"/>
              </w:rPr>
              <w:t xml:space="preserve"> </w:t>
            </w:r>
            <w:r w:rsidRPr="00126A71">
              <w:rPr>
                <w:szCs w:val="20"/>
              </w:rPr>
              <w:t>on</w:t>
            </w:r>
            <w:r w:rsidRPr="00126A71">
              <w:rPr>
                <w:spacing w:val="-6"/>
                <w:szCs w:val="20"/>
              </w:rPr>
              <w:t xml:space="preserve"> </w:t>
            </w:r>
            <w:r w:rsidRPr="00126A71">
              <w:rPr>
                <w:szCs w:val="20"/>
              </w:rPr>
              <w:t>the</w:t>
            </w:r>
            <w:r w:rsidRPr="00126A71">
              <w:rPr>
                <w:spacing w:val="-5"/>
                <w:szCs w:val="20"/>
              </w:rPr>
              <w:t xml:space="preserve"> </w:t>
            </w:r>
            <w:r w:rsidRPr="00126A71">
              <w:rPr>
                <w:szCs w:val="20"/>
              </w:rPr>
              <w:t>TSX</w:t>
            </w:r>
            <w:r w:rsidRPr="00126A71">
              <w:rPr>
                <w:spacing w:val="-4"/>
                <w:szCs w:val="20"/>
              </w:rPr>
              <w:t xml:space="preserve"> </w:t>
            </w:r>
            <w:r w:rsidRPr="00126A71">
              <w:rPr>
                <w:szCs w:val="20"/>
              </w:rPr>
              <w:t>Venture</w:t>
            </w:r>
            <w:r w:rsidRPr="00126A71">
              <w:rPr>
                <w:spacing w:val="-3"/>
                <w:szCs w:val="20"/>
              </w:rPr>
              <w:t xml:space="preserve"> </w:t>
            </w:r>
            <w:r w:rsidRPr="00126A71">
              <w:rPr>
                <w:szCs w:val="20"/>
              </w:rPr>
              <w:t>Exchange</w:t>
            </w:r>
            <w:r w:rsidRPr="00126A71">
              <w:rPr>
                <w:spacing w:val="-3"/>
                <w:szCs w:val="20"/>
              </w:rPr>
              <w:t xml:space="preserve"> </w:t>
            </w:r>
            <w:r w:rsidRPr="00126A71">
              <w:rPr>
                <w:szCs w:val="20"/>
              </w:rPr>
              <w:t>(the</w:t>
            </w:r>
            <w:r w:rsidRPr="00126A71">
              <w:rPr>
                <w:spacing w:val="-4"/>
                <w:szCs w:val="20"/>
              </w:rPr>
              <w:t xml:space="preserve"> </w:t>
            </w:r>
            <w:r w:rsidR="00FF58F8" w:rsidRPr="00126A71">
              <w:rPr>
                <w:szCs w:val="20"/>
              </w:rPr>
              <w:t>“</w:t>
            </w:r>
            <w:r w:rsidRPr="00126A71">
              <w:rPr>
                <w:b/>
                <w:szCs w:val="20"/>
              </w:rPr>
              <w:t>TSXV</w:t>
            </w:r>
            <w:r w:rsidR="00FF58F8" w:rsidRPr="00126A71">
              <w:rPr>
                <w:szCs w:val="20"/>
              </w:rPr>
              <w:t>”</w:t>
            </w:r>
            <w:r w:rsidRPr="00126A71">
              <w:rPr>
                <w:szCs w:val="20"/>
              </w:rPr>
              <w:t>)</w:t>
            </w:r>
            <w:r w:rsidRPr="00126A71">
              <w:rPr>
                <w:spacing w:val="-5"/>
                <w:szCs w:val="20"/>
              </w:rPr>
              <w:t xml:space="preserve"> </w:t>
            </w:r>
            <w:r w:rsidRPr="00126A71">
              <w:rPr>
                <w:szCs w:val="20"/>
              </w:rPr>
              <w:t>und</w:t>
            </w:r>
            <w:r w:rsidR="00FB2DDA" w:rsidRPr="00126A71">
              <w:rPr>
                <w:szCs w:val="20"/>
              </w:rPr>
              <w:t xml:space="preserve">er </w:t>
            </w:r>
            <w:r w:rsidRPr="00126A71">
              <w:rPr>
                <w:szCs w:val="20"/>
              </w:rPr>
              <w:t xml:space="preserve">the trading symbol </w:t>
            </w:r>
            <w:r w:rsidR="00FF58F8" w:rsidRPr="00126A71">
              <w:rPr>
                <w:szCs w:val="20"/>
              </w:rPr>
              <w:t>“</w:t>
            </w:r>
            <w:r w:rsidR="008B5F4D">
              <w:rPr>
                <w:szCs w:val="20"/>
              </w:rPr>
              <w:t>FOR</w:t>
            </w:r>
            <w:r w:rsidR="00FF58F8" w:rsidRPr="00126A71">
              <w:rPr>
                <w:szCs w:val="20"/>
              </w:rPr>
              <w:t>”</w:t>
            </w:r>
            <w:r w:rsidR="00764DE7">
              <w:rPr>
                <w:szCs w:val="20"/>
              </w:rPr>
              <w:t xml:space="preserve">, </w:t>
            </w:r>
            <w:r w:rsidR="004A2A3D">
              <w:rPr>
                <w:szCs w:val="20"/>
              </w:rPr>
              <w:t xml:space="preserve">on </w:t>
            </w:r>
            <w:r w:rsidR="00764DE7">
              <w:rPr>
                <w:szCs w:val="20"/>
              </w:rPr>
              <w:t>the OTCQB under the trading symbol “</w:t>
            </w:r>
            <w:r w:rsidR="008B5F4D">
              <w:rPr>
                <w:szCs w:val="20"/>
              </w:rPr>
              <w:t>FTBY</w:t>
            </w:r>
            <w:r w:rsidR="00764DE7">
              <w:rPr>
                <w:szCs w:val="20"/>
              </w:rPr>
              <w:t xml:space="preserve">F”, and </w:t>
            </w:r>
            <w:r w:rsidR="004A2A3D">
              <w:rPr>
                <w:szCs w:val="20"/>
              </w:rPr>
              <w:t xml:space="preserve">on </w:t>
            </w:r>
            <w:r w:rsidR="00764DE7">
              <w:rPr>
                <w:szCs w:val="20"/>
              </w:rPr>
              <w:t>the Frankfurt Stock Exchange under the trading symbol “</w:t>
            </w:r>
            <w:r w:rsidR="008B5F4D">
              <w:rPr>
                <w:szCs w:val="20"/>
              </w:rPr>
              <w:t>5QN</w:t>
            </w:r>
            <w:r w:rsidR="00764DE7">
              <w:rPr>
                <w:szCs w:val="20"/>
              </w:rPr>
              <w:t>”</w:t>
            </w:r>
            <w:r w:rsidR="00BB61F7" w:rsidRPr="00126A71">
              <w:rPr>
                <w:szCs w:val="20"/>
              </w:rPr>
              <w:t>.</w:t>
            </w:r>
          </w:p>
        </w:tc>
      </w:tr>
      <w:tr w:rsidR="002E309B" w:rsidRPr="00126A71" w14:paraId="7DF8BA45" w14:textId="77777777">
        <w:trPr>
          <w:trHeight w:val="647"/>
        </w:trPr>
        <w:tc>
          <w:tcPr>
            <w:tcW w:w="1886" w:type="dxa"/>
            <w:shd w:val="clear" w:color="auto" w:fill="D9D9D9"/>
          </w:tcPr>
          <w:p w14:paraId="7F416F1A" w14:textId="77777777" w:rsidR="00DD344E" w:rsidRPr="00126A71" w:rsidRDefault="007966A3">
            <w:pPr>
              <w:pStyle w:val="TableParagraph"/>
              <w:spacing w:line="276" w:lineRule="auto"/>
              <w:ind w:left="107" w:right="553"/>
              <w:rPr>
                <w:b/>
                <w:szCs w:val="20"/>
              </w:rPr>
            </w:pPr>
            <w:r w:rsidRPr="00126A71">
              <w:rPr>
                <w:b/>
                <w:spacing w:val="-1"/>
                <w:szCs w:val="20"/>
              </w:rPr>
              <w:t xml:space="preserve">Last </w:t>
            </w:r>
            <w:r w:rsidRPr="00126A71">
              <w:rPr>
                <w:b/>
                <w:szCs w:val="20"/>
              </w:rPr>
              <w:t>Closing</w:t>
            </w:r>
            <w:r w:rsidRPr="00126A71">
              <w:rPr>
                <w:b/>
                <w:spacing w:val="-53"/>
                <w:szCs w:val="20"/>
              </w:rPr>
              <w:t xml:space="preserve"> </w:t>
            </w:r>
            <w:r w:rsidRPr="00126A71">
              <w:rPr>
                <w:b/>
                <w:szCs w:val="20"/>
              </w:rPr>
              <w:t>Price:</w:t>
            </w:r>
          </w:p>
        </w:tc>
        <w:tc>
          <w:tcPr>
            <w:tcW w:w="7465" w:type="dxa"/>
          </w:tcPr>
          <w:p w14:paraId="0C5041CB" w14:textId="657BD5F7" w:rsidR="0079613A" w:rsidRPr="00126A71" w:rsidRDefault="0079613A" w:rsidP="0079613A">
            <w:pPr>
              <w:pStyle w:val="TableParagraph"/>
              <w:spacing w:line="276" w:lineRule="auto"/>
              <w:ind w:left="105" w:right="96"/>
              <w:jc w:val="both"/>
              <w:rPr>
                <w:szCs w:val="20"/>
              </w:rPr>
            </w:pPr>
            <w:r w:rsidRPr="00126A71">
              <w:rPr>
                <w:color w:val="000000" w:themeColor="text1"/>
                <w:szCs w:val="20"/>
              </w:rPr>
              <w:t xml:space="preserve">On </w:t>
            </w:r>
            <w:r w:rsidR="008B5F4D">
              <w:rPr>
                <w:color w:val="000000" w:themeColor="text1"/>
                <w:szCs w:val="20"/>
              </w:rPr>
              <w:t xml:space="preserve">October </w:t>
            </w:r>
            <w:r w:rsidR="00A35F7E">
              <w:rPr>
                <w:color w:val="000000" w:themeColor="text1"/>
                <w:szCs w:val="20"/>
              </w:rPr>
              <w:t>20</w:t>
            </w:r>
            <w:r w:rsidRPr="00126A71">
              <w:rPr>
                <w:color w:val="000000" w:themeColor="text1"/>
                <w:szCs w:val="20"/>
              </w:rPr>
              <w:t xml:space="preserve">, 2025, the last trading day before the announcement of the Offering, the closing price of the Common Shares on the TSXV was </w:t>
            </w:r>
            <w:r w:rsidR="0080196F">
              <w:rPr>
                <w:color w:val="000000" w:themeColor="text1"/>
                <w:szCs w:val="20"/>
              </w:rPr>
              <w:t>$1.16.</w:t>
            </w:r>
          </w:p>
        </w:tc>
      </w:tr>
    </w:tbl>
    <w:p w14:paraId="4A0EEBBE" w14:textId="77777777" w:rsidR="00CE5440" w:rsidRPr="00126A71" w:rsidRDefault="00CE5440" w:rsidP="00CE5440">
      <w:pPr>
        <w:spacing w:line="276" w:lineRule="auto"/>
        <w:ind w:left="200" w:right="201"/>
        <w:jc w:val="both"/>
        <w:rPr>
          <w:b/>
          <w:i/>
          <w:sz w:val="18"/>
        </w:rPr>
      </w:pPr>
    </w:p>
    <w:p w14:paraId="2AA9DA79" w14:textId="3A707191" w:rsidR="00E30BC2" w:rsidRPr="00E30BC2" w:rsidRDefault="00BB61F7" w:rsidP="007827D1">
      <w:pPr>
        <w:spacing w:before="80" w:after="240" w:line="276" w:lineRule="auto"/>
        <w:ind w:right="201"/>
        <w:jc w:val="both"/>
        <w:rPr>
          <w:szCs w:val="20"/>
          <w:shd w:val="clear" w:color="auto" w:fill="FFFFFF"/>
        </w:rPr>
      </w:pPr>
      <w:r w:rsidRPr="00F14607">
        <w:rPr>
          <w:szCs w:val="20"/>
          <w:shd w:val="clear" w:color="auto" w:fill="FFFFFF"/>
        </w:rPr>
        <w:t xml:space="preserve">All references in this </w:t>
      </w:r>
      <w:r w:rsidR="00A252DE" w:rsidRPr="00F14607">
        <w:rPr>
          <w:szCs w:val="20"/>
          <w:shd w:val="clear" w:color="auto" w:fill="FFFFFF"/>
        </w:rPr>
        <w:t>offering document</w:t>
      </w:r>
      <w:r w:rsidRPr="00F14607">
        <w:rPr>
          <w:szCs w:val="20"/>
          <w:shd w:val="clear" w:color="auto" w:fill="FFFFFF"/>
        </w:rPr>
        <w:t xml:space="preserve"> to “dollars” or “$” are to Canadian dollars, unless otherwise stated.</w:t>
      </w:r>
    </w:p>
    <w:p w14:paraId="167A0369" w14:textId="25078A24" w:rsidR="00BB61F7" w:rsidRPr="007827D1" w:rsidRDefault="00BB61F7" w:rsidP="00E2116F">
      <w:pPr>
        <w:keepNext/>
        <w:widowControl/>
        <w:spacing w:before="80" w:after="240" w:line="276" w:lineRule="auto"/>
        <w:ind w:right="202"/>
        <w:jc w:val="both"/>
        <w:rPr>
          <w:b/>
        </w:rPr>
      </w:pPr>
      <w:bookmarkStart w:id="0" w:name="_Hlk206148114"/>
      <w:r w:rsidRPr="007827D1">
        <w:rPr>
          <w:b/>
        </w:rPr>
        <w:lastRenderedPageBreak/>
        <w:t xml:space="preserve">The Company is conducting a listed issuer financing under section 5A.2 of NI 45-106. In connection with this Offering, the Company represents the following is true: </w:t>
      </w:r>
    </w:p>
    <w:p w14:paraId="75136241" w14:textId="0DCD5FC1" w:rsidR="00BB61F7" w:rsidRPr="007827D1" w:rsidRDefault="00BB61F7" w:rsidP="00F436D6">
      <w:pPr>
        <w:pStyle w:val="ONEBulletL1"/>
        <w:numPr>
          <w:ilvl w:val="0"/>
          <w:numId w:val="12"/>
        </w:numPr>
        <w:rPr>
          <w:rFonts w:ascii="Arial" w:hAnsi="Arial" w:cs="Arial"/>
          <w:b/>
        </w:rPr>
      </w:pPr>
      <w:r w:rsidRPr="007827D1">
        <w:rPr>
          <w:rFonts w:ascii="Arial" w:hAnsi="Arial" w:cs="Arial"/>
          <w:b/>
        </w:rPr>
        <w:t xml:space="preserve">The Company has active operations and its principal asset is not cash, cash equivalents or its exchange listing. </w:t>
      </w:r>
    </w:p>
    <w:p w14:paraId="27B93098" w14:textId="00D5CD26" w:rsidR="00BB61F7" w:rsidRPr="007827D1" w:rsidRDefault="00BB61F7" w:rsidP="00F436D6">
      <w:pPr>
        <w:pStyle w:val="ONEBulletL1"/>
        <w:numPr>
          <w:ilvl w:val="0"/>
          <w:numId w:val="12"/>
        </w:numPr>
        <w:rPr>
          <w:rFonts w:ascii="Arial" w:hAnsi="Arial" w:cs="Arial"/>
          <w:b/>
        </w:rPr>
      </w:pPr>
      <w:r w:rsidRPr="007827D1">
        <w:rPr>
          <w:rFonts w:ascii="Arial" w:hAnsi="Arial" w:cs="Arial"/>
          <w:b/>
        </w:rPr>
        <w:t xml:space="preserve">The Company has filed all periodic and timely disclosure documents that it is required to have filed. </w:t>
      </w:r>
    </w:p>
    <w:p w14:paraId="77A3B64D" w14:textId="68DAC54F" w:rsidR="00BB61F7" w:rsidRPr="007827D1" w:rsidRDefault="00BB61F7" w:rsidP="00F436D6">
      <w:pPr>
        <w:pStyle w:val="ONEBulletL1"/>
        <w:numPr>
          <w:ilvl w:val="0"/>
          <w:numId w:val="12"/>
        </w:numPr>
        <w:rPr>
          <w:rFonts w:ascii="Arial" w:hAnsi="Arial" w:cs="Arial"/>
          <w:b/>
        </w:rPr>
      </w:pPr>
      <w:r w:rsidRPr="007827D1">
        <w:rPr>
          <w:rFonts w:ascii="Arial" w:eastAsia="Times New Roman" w:hAnsi="Arial" w:cs="Arial"/>
          <w:b/>
        </w:rPr>
        <w:t xml:space="preserve">The Company is relying on the exemptions in Coordinated Blanket Order 45-935 </w:t>
      </w:r>
      <w:r w:rsidRPr="007827D1">
        <w:rPr>
          <w:rFonts w:ascii="Arial" w:eastAsia="Times New Roman" w:hAnsi="Arial" w:cs="Arial"/>
          <w:b/>
          <w:i/>
          <w:iCs/>
        </w:rPr>
        <w:t xml:space="preserve">Exemptions from Certain Conditions of the Listed </w:t>
      </w:r>
      <w:r w:rsidR="0079613A" w:rsidRPr="007827D1">
        <w:rPr>
          <w:rFonts w:ascii="Arial" w:eastAsia="Times New Roman" w:hAnsi="Arial" w:cs="Arial"/>
          <w:b/>
          <w:i/>
          <w:iCs/>
        </w:rPr>
        <w:t>Issuer</w:t>
      </w:r>
      <w:r w:rsidRPr="007827D1">
        <w:rPr>
          <w:rFonts w:ascii="Arial" w:eastAsia="Times New Roman" w:hAnsi="Arial" w:cs="Arial"/>
          <w:b/>
          <w:i/>
          <w:iCs/>
        </w:rPr>
        <w:t xml:space="preserve"> Financing Exemption</w:t>
      </w:r>
      <w:r w:rsidRPr="007827D1">
        <w:rPr>
          <w:rFonts w:ascii="Arial" w:eastAsia="Times New Roman" w:hAnsi="Arial" w:cs="Arial"/>
          <w:b/>
        </w:rPr>
        <w:t xml:space="preserve"> (the “Order”) and is qualified to distribute securities in reliance on the exemptions included in the Order.</w:t>
      </w:r>
    </w:p>
    <w:p w14:paraId="2ED1B321" w14:textId="65E55721" w:rsidR="00BB61F7" w:rsidRPr="007827D1" w:rsidRDefault="00544B77" w:rsidP="00F436D6">
      <w:pPr>
        <w:pStyle w:val="ONEBulletL1"/>
        <w:numPr>
          <w:ilvl w:val="0"/>
          <w:numId w:val="12"/>
        </w:numPr>
        <w:rPr>
          <w:rFonts w:ascii="Arial" w:hAnsi="Arial" w:cs="Arial"/>
          <w:b/>
          <w:color w:val="000000" w:themeColor="text1"/>
        </w:rPr>
      </w:pPr>
      <w:r w:rsidRPr="007827D1">
        <w:rPr>
          <w:rFonts w:ascii="Arial" w:hAnsi="Arial" w:cs="Arial"/>
          <w:b/>
          <w:color w:val="000000" w:themeColor="text1"/>
        </w:rPr>
        <w:t xml:space="preserve">The total dollar amount of this Offering, in combination with the dollar amount of all other offerings made under the listed issuer financing exemption and under the Order in the 12 months immediately </w:t>
      </w:r>
      <w:r w:rsidR="00685B54">
        <w:rPr>
          <w:rFonts w:ascii="Arial" w:hAnsi="Arial" w:cs="Arial"/>
          <w:b/>
          <w:color w:val="000000" w:themeColor="text1"/>
        </w:rPr>
        <w:t>preceding</w:t>
      </w:r>
      <w:r w:rsidR="00685B54" w:rsidRPr="007827D1">
        <w:rPr>
          <w:rFonts w:ascii="Arial" w:hAnsi="Arial" w:cs="Arial"/>
          <w:b/>
          <w:color w:val="000000" w:themeColor="text1"/>
        </w:rPr>
        <w:t xml:space="preserve"> </w:t>
      </w:r>
      <w:r w:rsidRPr="007827D1">
        <w:rPr>
          <w:rFonts w:ascii="Arial" w:hAnsi="Arial" w:cs="Arial"/>
          <w:b/>
          <w:color w:val="000000" w:themeColor="text1"/>
        </w:rPr>
        <w:t xml:space="preserve">the date of </w:t>
      </w:r>
      <w:r w:rsidR="000560AB">
        <w:rPr>
          <w:rFonts w:ascii="Arial" w:hAnsi="Arial" w:cs="Arial"/>
          <w:b/>
          <w:color w:val="000000" w:themeColor="text1"/>
        </w:rPr>
        <w:t>the news release announcing this Offering</w:t>
      </w:r>
      <w:r w:rsidRPr="007827D1">
        <w:rPr>
          <w:rFonts w:ascii="Arial" w:hAnsi="Arial" w:cs="Arial"/>
          <w:b/>
          <w:color w:val="000000" w:themeColor="text1"/>
        </w:rPr>
        <w:t>, will not exceed $25,000,000.</w:t>
      </w:r>
    </w:p>
    <w:p w14:paraId="30C0B82B" w14:textId="65C47B10" w:rsidR="00BB61F7" w:rsidRPr="007827D1" w:rsidRDefault="00BB61F7" w:rsidP="00F436D6">
      <w:pPr>
        <w:pStyle w:val="ONEBulletL1"/>
        <w:numPr>
          <w:ilvl w:val="0"/>
          <w:numId w:val="12"/>
        </w:numPr>
        <w:rPr>
          <w:rFonts w:ascii="Arial" w:hAnsi="Arial" w:cs="Arial"/>
          <w:b/>
        </w:rPr>
      </w:pPr>
      <w:r w:rsidRPr="007827D1">
        <w:rPr>
          <w:rFonts w:ascii="Arial" w:hAnsi="Arial" w:cs="Arial"/>
          <w:b/>
        </w:rPr>
        <w:t xml:space="preserve">The Company will not close this Offering unless the Company reasonably believes it has raised sufficient funds to meet its business objectives and liquidity requirements for a period of 12 months following the distribution. </w:t>
      </w:r>
    </w:p>
    <w:p w14:paraId="18504B72" w14:textId="391FD4AA" w:rsidR="00DD344E" w:rsidRPr="008565D7" w:rsidRDefault="00BB61F7" w:rsidP="00F436D6">
      <w:pPr>
        <w:pStyle w:val="ONEBulletL1"/>
        <w:numPr>
          <w:ilvl w:val="0"/>
          <w:numId w:val="12"/>
        </w:numPr>
        <w:rPr>
          <w:rFonts w:ascii="Arial" w:hAnsi="Arial" w:cs="Arial"/>
          <w:bCs/>
        </w:rPr>
      </w:pPr>
      <w:r w:rsidRPr="007827D1">
        <w:rPr>
          <w:rFonts w:ascii="Arial" w:hAnsi="Arial" w:cs="Arial"/>
          <w:b/>
        </w:rPr>
        <w:t>The Company will not allocate the available funds from this Offering to an acquisition that is a significant acquisition or restructuring transaction under securities law or to any other transaction for which the Company seeks security holder approval.</w:t>
      </w:r>
      <w:bookmarkEnd w:id="0"/>
    </w:p>
    <w:p w14:paraId="59BC8DC4" w14:textId="0123A089" w:rsidR="00CC1A26" w:rsidRDefault="00CC1A26" w:rsidP="007827D1">
      <w:pPr>
        <w:pStyle w:val="Heading1"/>
        <w:spacing w:before="93"/>
        <w:ind w:left="0" w:right="40"/>
      </w:pPr>
      <w:r w:rsidRPr="00E70162">
        <w:t>Forward Looking Statements and the Material Factors, Assumptions and Risks</w:t>
      </w:r>
      <w:r>
        <w:t xml:space="preserve"> </w:t>
      </w:r>
      <w:r w:rsidRPr="00E70162">
        <w:t>Underlying Them</w:t>
      </w:r>
    </w:p>
    <w:p w14:paraId="34A3F1BA" w14:textId="39C01342" w:rsidR="00A55623" w:rsidRPr="00126A71" w:rsidRDefault="00A252DE" w:rsidP="00126A71">
      <w:pPr>
        <w:pStyle w:val="ONEBodyText"/>
        <w:rPr>
          <w:rFonts w:ascii="Arial" w:hAnsi="Arial" w:cs="Arial"/>
        </w:rPr>
      </w:pPr>
      <w:r w:rsidRPr="00126A71">
        <w:rPr>
          <w:rFonts w:ascii="Arial" w:hAnsi="Arial" w:cs="Arial"/>
        </w:rPr>
        <w:t xml:space="preserve">This offering document contains </w:t>
      </w:r>
      <w:r w:rsidR="00337120">
        <w:rPr>
          <w:rFonts w:ascii="Arial" w:hAnsi="Arial" w:cs="Arial"/>
        </w:rPr>
        <w:t>“forward-looking information” and “</w:t>
      </w:r>
      <w:r w:rsidRPr="00126A71">
        <w:rPr>
          <w:rFonts w:ascii="Arial" w:hAnsi="Arial" w:cs="Arial"/>
        </w:rPr>
        <w:t>forward-looking statements</w:t>
      </w:r>
      <w:r w:rsidR="00337120">
        <w:rPr>
          <w:rFonts w:ascii="Arial" w:hAnsi="Arial" w:cs="Arial"/>
        </w:rPr>
        <w:t>” within the meaning of applicable Canadian and United States securities legislation</w:t>
      </w:r>
      <w:r w:rsidRPr="00126A71">
        <w:rPr>
          <w:rFonts w:ascii="Arial" w:hAnsi="Arial" w:cs="Arial"/>
        </w:rPr>
        <w:t xml:space="preserve"> (</w:t>
      </w:r>
      <w:r w:rsidR="00337120">
        <w:rPr>
          <w:rFonts w:ascii="Arial" w:hAnsi="Arial" w:cs="Arial"/>
        </w:rPr>
        <w:t xml:space="preserve">collectively, </w:t>
      </w:r>
      <w:r w:rsidRPr="00126A71">
        <w:rPr>
          <w:rFonts w:ascii="Arial" w:hAnsi="Arial" w:cs="Arial"/>
        </w:rPr>
        <w:t>“</w:t>
      </w:r>
      <w:r w:rsidRPr="00F14607">
        <w:rPr>
          <w:rFonts w:ascii="Arial" w:hAnsi="Arial" w:cs="Arial"/>
          <w:b/>
          <w:bCs/>
        </w:rPr>
        <w:t>FLS</w:t>
      </w:r>
      <w:r w:rsidRPr="00126A71">
        <w:rPr>
          <w:rFonts w:ascii="Arial" w:hAnsi="Arial" w:cs="Arial"/>
        </w:rPr>
        <w:t xml:space="preserve">”) regarding </w:t>
      </w:r>
      <w:r w:rsidR="00667F94">
        <w:rPr>
          <w:rFonts w:ascii="Arial" w:hAnsi="Arial" w:cs="Arial"/>
        </w:rPr>
        <w:t>Fortune Bay</w:t>
      </w:r>
      <w:r w:rsidRPr="00126A71">
        <w:rPr>
          <w:rFonts w:ascii="Arial" w:hAnsi="Arial" w:cs="Arial"/>
        </w:rPr>
        <w:t xml:space="preserve">’s business and operations, including statements regarding future exploration plans at </w:t>
      </w:r>
      <w:r w:rsidR="00667F94">
        <w:rPr>
          <w:rFonts w:ascii="Arial" w:hAnsi="Arial" w:cs="Arial"/>
        </w:rPr>
        <w:t>Fortune Bay</w:t>
      </w:r>
      <w:r w:rsidRPr="00126A71">
        <w:rPr>
          <w:rFonts w:ascii="Arial" w:hAnsi="Arial" w:cs="Arial"/>
        </w:rPr>
        <w:t xml:space="preserve">’s mineral projects, including the </w:t>
      </w:r>
      <w:r w:rsidR="00FC017A">
        <w:rPr>
          <w:rFonts w:ascii="Arial" w:hAnsi="Arial" w:cs="Arial"/>
        </w:rPr>
        <w:t xml:space="preserve">Goldfields </w:t>
      </w:r>
      <w:r w:rsidRPr="00126A71">
        <w:rPr>
          <w:rFonts w:ascii="Arial" w:hAnsi="Arial" w:cs="Arial"/>
        </w:rPr>
        <w:t>Project</w:t>
      </w:r>
      <w:r w:rsidR="00006E6C">
        <w:rPr>
          <w:rFonts w:ascii="Arial" w:hAnsi="Arial" w:cs="Arial"/>
        </w:rPr>
        <w:t xml:space="preserve"> </w:t>
      </w:r>
      <w:r w:rsidRPr="00126A71">
        <w:rPr>
          <w:rFonts w:ascii="Arial" w:hAnsi="Arial" w:cs="Arial"/>
        </w:rPr>
        <w:t xml:space="preserve">in </w:t>
      </w:r>
      <w:r w:rsidR="009A49B0">
        <w:rPr>
          <w:rFonts w:ascii="Arial" w:hAnsi="Arial" w:cs="Arial"/>
        </w:rPr>
        <w:t>Saskatchewa</w:t>
      </w:r>
      <w:r w:rsidRPr="00126A71">
        <w:rPr>
          <w:rFonts w:ascii="Arial" w:hAnsi="Arial" w:cs="Arial"/>
        </w:rPr>
        <w:t>n, Canada</w:t>
      </w:r>
      <w:r w:rsidR="00D86604">
        <w:rPr>
          <w:rFonts w:ascii="Arial" w:hAnsi="Arial" w:cs="Arial"/>
        </w:rPr>
        <w:t xml:space="preserve"> and the Poma Rosa Project (as defined below) in Chiapas, Mexico</w:t>
      </w:r>
      <w:r w:rsidRPr="00126A71">
        <w:rPr>
          <w:rFonts w:ascii="Arial" w:hAnsi="Arial" w:cs="Arial"/>
        </w:rPr>
        <w:t>; exploration timelines and anticipated costs;</w:t>
      </w:r>
      <w:r w:rsidR="008636F0">
        <w:rPr>
          <w:rFonts w:ascii="Arial" w:hAnsi="Arial" w:cs="Arial"/>
        </w:rPr>
        <w:t xml:space="preserve"> </w:t>
      </w:r>
      <w:r w:rsidRPr="00126A71">
        <w:rPr>
          <w:rFonts w:ascii="Arial" w:hAnsi="Arial" w:cs="Arial"/>
        </w:rPr>
        <w:t>anticipated exploration activities</w:t>
      </w:r>
      <w:r w:rsidR="00D86604">
        <w:rPr>
          <w:rFonts w:ascii="Arial" w:hAnsi="Arial" w:cs="Arial"/>
        </w:rPr>
        <w:t xml:space="preserve"> and agreements</w:t>
      </w:r>
      <w:r w:rsidRPr="00126A71">
        <w:rPr>
          <w:rFonts w:ascii="Arial" w:hAnsi="Arial" w:cs="Arial"/>
        </w:rPr>
        <w:t>;</w:t>
      </w:r>
      <w:r w:rsidR="008636F0">
        <w:rPr>
          <w:rFonts w:ascii="Arial" w:hAnsi="Arial" w:cs="Arial"/>
        </w:rPr>
        <w:t xml:space="preserve"> </w:t>
      </w:r>
      <w:r w:rsidR="004575BB" w:rsidRPr="00126A71">
        <w:rPr>
          <w:rFonts w:ascii="Arial" w:hAnsi="Arial" w:cs="Arial"/>
        </w:rPr>
        <w:t>the Company’s use of proceeds</w:t>
      </w:r>
      <w:r w:rsidR="004575BB">
        <w:rPr>
          <w:rFonts w:ascii="Arial" w:hAnsi="Arial" w:cs="Arial"/>
        </w:rPr>
        <w:t xml:space="preserve"> from the Offering and</w:t>
      </w:r>
      <w:r w:rsidR="004575BB" w:rsidRPr="00126A71">
        <w:rPr>
          <w:rFonts w:ascii="Arial" w:hAnsi="Arial" w:cs="Arial"/>
        </w:rPr>
        <w:t xml:space="preserve"> the use of the </w:t>
      </w:r>
      <w:r w:rsidR="004575BB">
        <w:rPr>
          <w:rFonts w:ascii="Arial" w:hAnsi="Arial" w:cs="Arial"/>
        </w:rPr>
        <w:t xml:space="preserve">other </w:t>
      </w:r>
      <w:r w:rsidR="004575BB" w:rsidRPr="00126A71">
        <w:rPr>
          <w:rFonts w:ascii="Arial" w:hAnsi="Arial" w:cs="Arial"/>
        </w:rPr>
        <w:t>available funds following completion of the Offering;</w:t>
      </w:r>
      <w:r w:rsidR="00923DA6">
        <w:rPr>
          <w:rFonts w:ascii="Arial" w:hAnsi="Arial" w:cs="Arial"/>
        </w:rPr>
        <w:t xml:space="preserve"> </w:t>
      </w:r>
      <w:r w:rsidRPr="00126A71">
        <w:rPr>
          <w:rFonts w:ascii="Arial" w:hAnsi="Arial" w:cs="Arial"/>
        </w:rPr>
        <w:t xml:space="preserve">the completion of the Offering; </w:t>
      </w:r>
      <w:r w:rsidR="00923DA6">
        <w:rPr>
          <w:rFonts w:ascii="Arial" w:hAnsi="Arial" w:cs="Arial"/>
        </w:rPr>
        <w:t xml:space="preserve">fees and expenses payable in connection with the Offering; TSXV approval of the Offering; </w:t>
      </w:r>
      <w:r w:rsidRPr="00126A71">
        <w:rPr>
          <w:rFonts w:ascii="Arial" w:hAnsi="Arial" w:cs="Arial"/>
        </w:rPr>
        <w:t xml:space="preserve">the Offering’s expected impact on the Company’s financial position; and the expected </w:t>
      </w:r>
      <w:r w:rsidR="004575BB">
        <w:rPr>
          <w:rFonts w:ascii="Arial" w:hAnsi="Arial" w:cs="Arial"/>
        </w:rPr>
        <w:t>C</w:t>
      </w:r>
      <w:r w:rsidRPr="00126A71">
        <w:rPr>
          <w:rFonts w:ascii="Arial" w:hAnsi="Arial" w:cs="Arial"/>
        </w:rPr>
        <w:t xml:space="preserve">losing </w:t>
      </w:r>
      <w:r w:rsidR="004575BB">
        <w:rPr>
          <w:rFonts w:ascii="Arial" w:hAnsi="Arial" w:cs="Arial"/>
        </w:rPr>
        <w:t>D</w:t>
      </w:r>
      <w:r w:rsidRPr="00126A71">
        <w:rPr>
          <w:rFonts w:ascii="Arial" w:hAnsi="Arial" w:cs="Arial"/>
        </w:rPr>
        <w:t>ate. Forward-looking information relates to future events and future performance and includes statements regarding the expectations and beliefs of management based on information currently available to the Company. Such forward-looking information often, but not always, can be identified by the use of words such as “plans”, “expects”, “potential”, “is expected”, “anticipated”, “is targeted”, “budget”, “scheduled”, “estimates”, “forecasts”, “intends”, “anticipates”, or “believes” or the negatives thereof or variations of such words and phrases or statements that certain actions, events or results “may”, “could”, “would”, “might” or “will” be taken, occur or be achieved.</w:t>
      </w:r>
    </w:p>
    <w:p w14:paraId="782F6334" w14:textId="07F24DC6" w:rsidR="00A252DE" w:rsidRPr="00126A71" w:rsidRDefault="00A252DE" w:rsidP="00A55623">
      <w:pPr>
        <w:pStyle w:val="ONEBodyText"/>
        <w:rPr>
          <w:rFonts w:ascii="Arial" w:hAnsi="Arial" w:cs="Arial"/>
        </w:rPr>
      </w:pPr>
      <w:r w:rsidRPr="00126A71">
        <w:rPr>
          <w:rFonts w:ascii="Arial" w:hAnsi="Arial" w:cs="Arial"/>
        </w:rPr>
        <w:t xml:space="preserve">While these FLS represent </w:t>
      </w:r>
      <w:r w:rsidR="00667F94">
        <w:rPr>
          <w:rFonts w:ascii="Arial" w:hAnsi="Arial" w:cs="Arial"/>
        </w:rPr>
        <w:t>Fortune Bay</w:t>
      </w:r>
      <w:r w:rsidRPr="00126A71">
        <w:rPr>
          <w:rFonts w:ascii="Arial" w:hAnsi="Arial" w:cs="Arial"/>
        </w:rPr>
        <w:t>’s views as of the date hereof, the assumptions related to these plans, estimates, projections, beliefs and opinions may change without notice and in unanticipated ways and may ultimately prove to be incorrect.</w:t>
      </w:r>
    </w:p>
    <w:p w14:paraId="275487E6" w14:textId="51819FD0" w:rsidR="00A252DE" w:rsidRPr="00126A71" w:rsidRDefault="00A252DE" w:rsidP="00A55623">
      <w:pPr>
        <w:pStyle w:val="ONEBodyText"/>
        <w:rPr>
          <w:rFonts w:ascii="Arial" w:hAnsi="Arial" w:cs="Arial"/>
        </w:rPr>
      </w:pPr>
      <w:r w:rsidRPr="00126A71">
        <w:rPr>
          <w:rFonts w:ascii="Arial" w:hAnsi="Arial" w:cs="Arial"/>
        </w:rPr>
        <w:t xml:space="preserve">Forward-looking information is subject to a variety of risks and uncertainties, which could cause actual events or results to differ from those reflected in such forward-looking information, including, without limitation, risks </w:t>
      </w:r>
      <w:r w:rsidR="005A4DE0">
        <w:rPr>
          <w:rFonts w:ascii="Arial" w:hAnsi="Arial" w:cs="Arial"/>
        </w:rPr>
        <w:t xml:space="preserve">and uncertainties </w:t>
      </w:r>
      <w:r w:rsidRPr="00126A71">
        <w:rPr>
          <w:rFonts w:ascii="Arial" w:hAnsi="Arial" w:cs="Arial"/>
        </w:rPr>
        <w:t xml:space="preserve">with respect to: the future prices of gold, </w:t>
      </w:r>
      <w:r w:rsidR="0011302C" w:rsidRPr="0011302C">
        <w:rPr>
          <w:rFonts w:ascii="Arial" w:hAnsi="Arial" w:cs="Arial"/>
          <w:lang w:val="en-US"/>
        </w:rPr>
        <w:t>copper</w:t>
      </w:r>
      <w:r w:rsidR="0011302C">
        <w:rPr>
          <w:rFonts w:ascii="Arial" w:hAnsi="Arial" w:cs="Arial"/>
          <w:lang w:val="en-US"/>
        </w:rPr>
        <w:t xml:space="preserve"> </w:t>
      </w:r>
      <w:r w:rsidRPr="00126A71">
        <w:rPr>
          <w:rFonts w:ascii="Arial" w:hAnsi="Arial" w:cs="Arial"/>
        </w:rPr>
        <w:t xml:space="preserve">and other commodities; currency exchange rates and interest rates; favourable operating conditions, political stability, timely receipt of governmental approvals, licences and permits (and renewals thereof); access to necessary financing; stability of labour markets and market conditions in general; availability of equipment; the accuracy of </w:t>
      </w:r>
      <w:r w:rsidR="005F4F91">
        <w:rPr>
          <w:rFonts w:ascii="Arial" w:hAnsi="Arial" w:cs="Arial"/>
        </w:rPr>
        <w:t xml:space="preserve">any </w:t>
      </w:r>
      <w:r w:rsidRPr="00126A71">
        <w:rPr>
          <w:rFonts w:ascii="Arial" w:hAnsi="Arial" w:cs="Arial"/>
        </w:rPr>
        <w:t xml:space="preserve">mineral resource estimate; estimates of costs and expenditures to complete the Company’s programs and goals; the speculative nature of mineral exploration and development in general, including the risk of diminishing quantities or grades </w:t>
      </w:r>
      <w:r w:rsidRPr="00126A71">
        <w:rPr>
          <w:rFonts w:ascii="Arial" w:hAnsi="Arial" w:cs="Arial"/>
        </w:rPr>
        <w:lastRenderedPageBreak/>
        <w:t xml:space="preserve">of mineralization; the Company’s ability to continue as a going concern; and there being no significant disruptions affecting the advancement of the </w:t>
      </w:r>
      <w:r w:rsidR="00FC017A">
        <w:rPr>
          <w:rFonts w:ascii="Arial" w:hAnsi="Arial" w:cs="Arial"/>
        </w:rPr>
        <w:t xml:space="preserve">Goldfields </w:t>
      </w:r>
      <w:r w:rsidRPr="00126A71">
        <w:rPr>
          <w:rFonts w:ascii="Arial" w:hAnsi="Arial" w:cs="Arial"/>
        </w:rPr>
        <w:t>Project or other projects.</w:t>
      </w:r>
    </w:p>
    <w:p w14:paraId="6A7873A2" w14:textId="56191B23" w:rsidR="00A252DE" w:rsidRPr="00126A71" w:rsidRDefault="00A252DE" w:rsidP="00A55623">
      <w:pPr>
        <w:pStyle w:val="ONEBodyText"/>
        <w:rPr>
          <w:rFonts w:ascii="Arial" w:hAnsi="Arial" w:cs="Arial"/>
        </w:rPr>
      </w:pPr>
      <w:r w:rsidRPr="00126A71">
        <w:rPr>
          <w:rFonts w:ascii="Arial" w:hAnsi="Arial" w:cs="Arial"/>
        </w:rPr>
        <w:t xml:space="preserve">The most significant risk the Company faces is that </w:t>
      </w:r>
      <w:r w:rsidR="00022F9B">
        <w:rPr>
          <w:rFonts w:ascii="Arial" w:hAnsi="Arial" w:cs="Arial"/>
        </w:rPr>
        <w:t xml:space="preserve">further development work on the </w:t>
      </w:r>
      <w:r w:rsidR="00FC017A">
        <w:rPr>
          <w:rFonts w:ascii="Arial" w:hAnsi="Arial" w:cs="Arial"/>
        </w:rPr>
        <w:t xml:space="preserve">Goldfields </w:t>
      </w:r>
      <w:r w:rsidR="00022F9B">
        <w:rPr>
          <w:rFonts w:ascii="Arial" w:hAnsi="Arial" w:cs="Arial"/>
        </w:rPr>
        <w:t>Project will not result in</w:t>
      </w:r>
      <w:r w:rsidRPr="00126A71">
        <w:rPr>
          <w:rFonts w:ascii="Arial" w:hAnsi="Arial" w:cs="Arial"/>
        </w:rPr>
        <w:t xml:space="preserve"> commercial amounts or grades of mineralization. If that occurs, </w:t>
      </w:r>
      <w:r w:rsidR="00667F94">
        <w:rPr>
          <w:rFonts w:ascii="Arial" w:hAnsi="Arial" w:cs="Arial"/>
        </w:rPr>
        <w:t>Fortune Bay</w:t>
      </w:r>
      <w:r w:rsidRPr="00126A71">
        <w:rPr>
          <w:rFonts w:ascii="Arial" w:hAnsi="Arial" w:cs="Arial"/>
        </w:rPr>
        <w:t xml:space="preserve"> may not have access to the additional capital required to acquire and explore other projects. Further work may ultimately condemn the </w:t>
      </w:r>
      <w:r w:rsidR="00FC017A">
        <w:rPr>
          <w:rFonts w:ascii="Arial" w:hAnsi="Arial" w:cs="Arial"/>
        </w:rPr>
        <w:t xml:space="preserve">Goldfields </w:t>
      </w:r>
      <w:r w:rsidRPr="00126A71">
        <w:rPr>
          <w:rFonts w:ascii="Arial" w:hAnsi="Arial" w:cs="Arial"/>
        </w:rPr>
        <w:t>Project or other mineral projects as not worth pursuing given the ongoing costs of maintaining them in good standing. Access to additional capital is never certain and will be adversely affected by general stock market conditions, the outlook for gold</w:t>
      </w:r>
      <w:r w:rsidR="00022F9B">
        <w:rPr>
          <w:rFonts w:ascii="Arial" w:hAnsi="Arial" w:cs="Arial"/>
        </w:rPr>
        <w:t xml:space="preserve"> and </w:t>
      </w:r>
      <w:r w:rsidR="00022F9B" w:rsidRPr="00022F9B">
        <w:rPr>
          <w:rFonts w:ascii="Arial" w:hAnsi="Arial" w:cs="Arial"/>
          <w:lang w:val="en-US"/>
        </w:rPr>
        <w:t xml:space="preserve">copper, </w:t>
      </w:r>
      <w:r w:rsidRPr="00126A71">
        <w:rPr>
          <w:rFonts w:ascii="Arial" w:hAnsi="Arial" w:cs="Arial"/>
        </w:rPr>
        <w:t xml:space="preserve">demand and pricing, and more particularly the prevailing investor appetite for junior resource issuer securities. </w:t>
      </w:r>
      <w:r w:rsidR="00667F94">
        <w:rPr>
          <w:rFonts w:ascii="Arial" w:hAnsi="Arial" w:cs="Arial"/>
        </w:rPr>
        <w:t>Fortune Bay</w:t>
      </w:r>
      <w:r w:rsidRPr="00126A71">
        <w:rPr>
          <w:rFonts w:ascii="Arial" w:hAnsi="Arial" w:cs="Arial"/>
        </w:rPr>
        <w:t xml:space="preserve"> has no commitments for financing beyond the Offering and there is no assurance that it will be able to continue its exploration programs and business operations beyond the exploration work outlined in this </w:t>
      </w:r>
      <w:r w:rsidR="007E3967">
        <w:rPr>
          <w:rFonts w:ascii="Arial" w:hAnsi="Arial" w:cs="Arial"/>
        </w:rPr>
        <w:t>o</w:t>
      </w:r>
      <w:r w:rsidRPr="00126A71">
        <w:rPr>
          <w:rFonts w:ascii="Arial" w:hAnsi="Arial" w:cs="Arial"/>
        </w:rPr>
        <w:t xml:space="preserve">ffering </w:t>
      </w:r>
      <w:r w:rsidR="007E3967">
        <w:rPr>
          <w:rFonts w:ascii="Arial" w:hAnsi="Arial" w:cs="Arial"/>
        </w:rPr>
        <w:t>d</w:t>
      </w:r>
      <w:bookmarkStart w:id="1" w:name="__termlynxbookmark"/>
      <w:bookmarkEnd w:id="1"/>
      <w:r w:rsidRPr="00126A71">
        <w:rPr>
          <w:rFonts w:ascii="Arial" w:hAnsi="Arial" w:cs="Arial"/>
        </w:rPr>
        <w:t>ocument.</w:t>
      </w:r>
    </w:p>
    <w:p w14:paraId="295F8EC5" w14:textId="2C4E49BF" w:rsidR="00A252DE" w:rsidRPr="00126A71" w:rsidRDefault="00A252DE" w:rsidP="00A55623">
      <w:pPr>
        <w:pStyle w:val="ONEBodyText"/>
        <w:rPr>
          <w:rFonts w:ascii="Arial" w:hAnsi="Arial" w:cs="Arial"/>
        </w:rPr>
      </w:pPr>
      <w:r w:rsidRPr="00126A71">
        <w:rPr>
          <w:rFonts w:ascii="Arial" w:hAnsi="Arial" w:cs="Arial"/>
        </w:rPr>
        <w:t xml:space="preserve">The principal factors which could cause our FLS to change include a determination that, based on ongoing </w:t>
      </w:r>
      <w:r w:rsidR="00022F9B">
        <w:rPr>
          <w:rFonts w:ascii="Arial" w:hAnsi="Arial" w:cs="Arial"/>
        </w:rPr>
        <w:t xml:space="preserve">development work, </w:t>
      </w:r>
      <w:r w:rsidRPr="00126A71">
        <w:rPr>
          <w:rFonts w:ascii="Arial" w:hAnsi="Arial" w:cs="Arial"/>
        </w:rPr>
        <w:t xml:space="preserve">exploration drilling or other exploration work, a material change in our </w:t>
      </w:r>
      <w:r w:rsidR="00022F9B">
        <w:rPr>
          <w:rFonts w:ascii="Arial" w:hAnsi="Arial" w:cs="Arial"/>
        </w:rPr>
        <w:t xml:space="preserve">development and </w:t>
      </w:r>
      <w:r w:rsidRPr="00126A71">
        <w:rPr>
          <w:rFonts w:ascii="Arial" w:hAnsi="Arial" w:cs="Arial"/>
        </w:rPr>
        <w:t>exploration plans is warranted, possibly including abandonment of one or more of our projects before completion of the planned work programs. Other factors that could cause a change in plans include an adverse change in the legal, political, or local community</w:t>
      </w:r>
      <w:r w:rsidR="00BC7489">
        <w:rPr>
          <w:rFonts w:ascii="Arial" w:hAnsi="Arial" w:cs="Arial"/>
        </w:rPr>
        <w:t xml:space="preserve"> (including First Nations</w:t>
      </w:r>
      <w:r w:rsidR="00457C6B">
        <w:rPr>
          <w:rFonts w:ascii="Arial" w:hAnsi="Arial" w:cs="Arial"/>
        </w:rPr>
        <w:t xml:space="preserve"> or indigenous</w:t>
      </w:r>
      <w:r w:rsidR="00BC7489">
        <w:rPr>
          <w:rFonts w:ascii="Arial" w:hAnsi="Arial" w:cs="Arial"/>
        </w:rPr>
        <w:t>)</w:t>
      </w:r>
      <w:r w:rsidRPr="00126A71">
        <w:rPr>
          <w:rFonts w:ascii="Arial" w:hAnsi="Arial" w:cs="Arial"/>
        </w:rPr>
        <w:t xml:space="preserve"> relationship landscape. Internal factors include a possible loss of key personnel to other employers, accidents, adverse uninsurable events such as malfunctioning equipment or unexpected geological instability, undetected project legal title defects, delays or refusal of exploration permitting applications, and lawsuits relating to our operations.</w:t>
      </w:r>
    </w:p>
    <w:p w14:paraId="55A0E211" w14:textId="65FFC46A" w:rsidR="00A252DE" w:rsidRPr="00126A71" w:rsidRDefault="00667F94" w:rsidP="00A55623">
      <w:pPr>
        <w:pStyle w:val="ONEBodyText"/>
        <w:rPr>
          <w:rFonts w:ascii="Arial" w:hAnsi="Arial" w:cs="Arial"/>
        </w:rPr>
      </w:pPr>
      <w:r>
        <w:rPr>
          <w:rFonts w:ascii="Arial" w:hAnsi="Arial" w:cs="Arial"/>
        </w:rPr>
        <w:t>Fortune Bay</w:t>
      </w:r>
      <w:r w:rsidR="00A252DE" w:rsidRPr="00126A71">
        <w:rPr>
          <w:rFonts w:ascii="Arial" w:hAnsi="Arial" w:cs="Arial"/>
        </w:rPr>
        <w:t xml:space="preserve"> cautions that the foregoing lists of important assumptions and factors are not exhaustive. Other events or circumstances could cause actual results to differ materially from those estimated or projected and expressed in, or implied by, the FLS contained herein. There can be no assurance that forward-looking information will prove to be accurate, as actual results and future events could differ materially from those anticipated in such information. Accordingly, investors should not place undue reliance on FLS. In evaluating our FLS, investors should specifically consider various factors, including the risks outlined herein and those described from time to time in </w:t>
      </w:r>
      <w:r>
        <w:rPr>
          <w:rFonts w:ascii="Arial" w:hAnsi="Arial" w:cs="Arial"/>
        </w:rPr>
        <w:t>Fortune Bay</w:t>
      </w:r>
      <w:r w:rsidR="00A252DE" w:rsidRPr="00126A71">
        <w:rPr>
          <w:rFonts w:ascii="Arial" w:hAnsi="Arial" w:cs="Arial"/>
        </w:rPr>
        <w:t xml:space="preserve">’s reports and filings available under the Company’s SEDAR+ profile at </w:t>
      </w:r>
      <w:hyperlink r:id="rId13" w:tgtFrame="_new" w:history="1">
        <w:r w:rsidR="00A252DE" w:rsidRPr="00126A71">
          <w:rPr>
            <w:rStyle w:val="Hyperlink"/>
            <w:rFonts w:ascii="Arial" w:hAnsi="Arial" w:cs="Arial"/>
          </w:rPr>
          <w:t>www.sedarplus.ca</w:t>
        </w:r>
      </w:hyperlink>
      <w:r w:rsidR="00A252DE" w:rsidRPr="00126A71">
        <w:rPr>
          <w:rFonts w:ascii="Arial" w:hAnsi="Arial" w:cs="Arial"/>
        </w:rPr>
        <w:t>.</w:t>
      </w:r>
    </w:p>
    <w:p w14:paraId="4585364F" w14:textId="60785B2A" w:rsidR="008B417E" w:rsidRPr="00126A71" w:rsidRDefault="00A252DE" w:rsidP="00A55623">
      <w:pPr>
        <w:pStyle w:val="ONEBodyText"/>
        <w:rPr>
          <w:rFonts w:ascii="Arial" w:hAnsi="Arial" w:cs="Arial"/>
        </w:rPr>
      </w:pPr>
      <w:r w:rsidRPr="00126A71">
        <w:rPr>
          <w:rFonts w:ascii="Arial" w:hAnsi="Arial" w:cs="Arial"/>
        </w:rPr>
        <w:t xml:space="preserve">FLS contained herein is made as of the date of this </w:t>
      </w:r>
      <w:r w:rsidR="007E3967">
        <w:rPr>
          <w:rFonts w:ascii="Arial" w:hAnsi="Arial" w:cs="Arial"/>
        </w:rPr>
        <w:t>o</w:t>
      </w:r>
      <w:r w:rsidRPr="00126A71">
        <w:rPr>
          <w:rFonts w:ascii="Arial" w:hAnsi="Arial" w:cs="Arial"/>
        </w:rPr>
        <w:t xml:space="preserve">ffering </w:t>
      </w:r>
      <w:r w:rsidR="007E3967">
        <w:rPr>
          <w:rFonts w:ascii="Arial" w:hAnsi="Arial" w:cs="Arial"/>
        </w:rPr>
        <w:t>d</w:t>
      </w:r>
      <w:r w:rsidRPr="00126A71">
        <w:rPr>
          <w:rFonts w:ascii="Arial" w:hAnsi="Arial" w:cs="Arial"/>
        </w:rPr>
        <w:t xml:space="preserve">ocument and </w:t>
      </w:r>
      <w:r w:rsidR="00667F94">
        <w:rPr>
          <w:rFonts w:ascii="Arial" w:hAnsi="Arial" w:cs="Arial"/>
        </w:rPr>
        <w:t>Fortune Bay</w:t>
      </w:r>
      <w:r w:rsidRPr="00126A71">
        <w:rPr>
          <w:rFonts w:ascii="Arial" w:hAnsi="Arial" w:cs="Arial"/>
        </w:rPr>
        <w:t xml:space="preserve"> disclaims any obligation to update or revise any FLS, whether as a result of new information, future events or results, or otherwise, except as and to the extent required by applicable securities laws.</w:t>
      </w:r>
    </w:p>
    <w:p w14:paraId="2C76BB45" w14:textId="5406A07C" w:rsidR="00DD344E" w:rsidRPr="00126A71" w:rsidRDefault="007966A3" w:rsidP="007827D1">
      <w:pPr>
        <w:pStyle w:val="Heading1"/>
        <w:spacing w:before="87"/>
        <w:ind w:left="0"/>
      </w:pPr>
      <w:r w:rsidRPr="00126A71">
        <w:t>Scientific</w:t>
      </w:r>
      <w:r w:rsidRPr="00126A71">
        <w:rPr>
          <w:spacing w:val="-5"/>
        </w:rPr>
        <w:t xml:space="preserve"> </w:t>
      </w:r>
      <w:r w:rsidRPr="00126A71">
        <w:t>and</w:t>
      </w:r>
      <w:r w:rsidRPr="00126A71">
        <w:rPr>
          <w:spacing w:val="-3"/>
        </w:rPr>
        <w:t xml:space="preserve"> </w:t>
      </w:r>
      <w:r w:rsidRPr="00126A71">
        <w:t>Technical</w:t>
      </w:r>
      <w:r w:rsidRPr="00126A71">
        <w:rPr>
          <w:spacing w:val="-2"/>
        </w:rPr>
        <w:t xml:space="preserve"> </w:t>
      </w:r>
      <w:r w:rsidRPr="00126A71">
        <w:t>Information</w:t>
      </w:r>
    </w:p>
    <w:p w14:paraId="123A944D" w14:textId="01F33D5A" w:rsidR="00BB61F7" w:rsidRPr="00420310" w:rsidRDefault="007966A3" w:rsidP="004A6BF9">
      <w:pPr>
        <w:pStyle w:val="ONEBodyText"/>
        <w:rPr>
          <w:rFonts w:ascii="Arial" w:hAnsi="Arial" w:cs="Arial"/>
        </w:rPr>
      </w:pPr>
      <w:r w:rsidRPr="00126A71">
        <w:rPr>
          <w:rFonts w:ascii="Arial" w:hAnsi="Arial" w:cs="Arial"/>
        </w:rPr>
        <w:t xml:space="preserve">The scientific and technical information contained in this offering document has been reviewed and approved by </w:t>
      </w:r>
      <w:r w:rsidR="00BF08F4" w:rsidRPr="00BF08F4">
        <w:rPr>
          <w:rFonts w:ascii="Arial" w:hAnsi="Arial" w:cs="Arial"/>
          <w:lang w:val="en-US"/>
        </w:rPr>
        <w:t>Gareth Garlick</w:t>
      </w:r>
      <w:r w:rsidR="00331E42">
        <w:rPr>
          <w:rFonts w:ascii="Arial" w:hAnsi="Arial" w:cs="Arial"/>
          <w:lang w:val="en-US"/>
        </w:rPr>
        <w:t>,</w:t>
      </w:r>
      <w:r w:rsidR="00BF08F4" w:rsidRPr="00BF08F4">
        <w:rPr>
          <w:rFonts w:ascii="Arial" w:hAnsi="Arial" w:cs="Arial"/>
          <w:lang w:val="en-US"/>
        </w:rPr>
        <w:t xml:space="preserve"> P.Geo., Vice-President Technical Services of the Company, </w:t>
      </w:r>
      <w:r w:rsidR="0011340F" w:rsidRPr="00126A71">
        <w:rPr>
          <w:rFonts w:ascii="Arial" w:hAnsi="Arial" w:cs="Arial"/>
        </w:rPr>
        <w:t>and</w:t>
      </w:r>
      <w:r w:rsidRPr="00126A71">
        <w:rPr>
          <w:rFonts w:ascii="Arial" w:hAnsi="Arial" w:cs="Arial"/>
        </w:rPr>
        <w:t xml:space="preserve"> a Qualified Person within the meaning of National Instrument 43-101 – </w:t>
      </w:r>
      <w:r w:rsidRPr="00126A71">
        <w:rPr>
          <w:rFonts w:ascii="Arial" w:hAnsi="Arial" w:cs="Arial"/>
          <w:i/>
          <w:iCs/>
        </w:rPr>
        <w:t>Standards of Disclosure for Mineral Projects</w:t>
      </w:r>
      <w:r w:rsidR="00420310">
        <w:rPr>
          <w:rFonts w:ascii="Arial" w:hAnsi="Arial" w:cs="Arial"/>
        </w:rPr>
        <w:t xml:space="preserve"> (“</w:t>
      </w:r>
      <w:r w:rsidR="00420310">
        <w:rPr>
          <w:rFonts w:ascii="Arial" w:hAnsi="Arial" w:cs="Arial"/>
          <w:b/>
          <w:bCs/>
        </w:rPr>
        <w:t>NI 43-101</w:t>
      </w:r>
      <w:r w:rsidR="00420310">
        <w:rPr>
          <w:rFonts w:ascii="Arial" w:hAnsi="Arial" w:cs="Arial"/>
        </w:rPr>
        <w:t>”).</w:t>
      </w:r>
    </w:p>
    <w:p w14:paraId="752CF0B1" w14:textId="1C1565E5" w:rsidR="00DD344E" w:rsidRPr="00126A71" w:rsidRDefault="00DB5121" w:rsidP="00F14234">
      <w:pPr>
        <w:pStyle w:val="Heading1"/>
        <w:keepNext/>
        <w:ind w:left="0" w:right="1138"/>
      </w:pPr>
      <w:r w:rsidRPr="00126A71">
        <w:t xml:space="preserve">PART 2: </w:t>
      </w:r>
      <w:r w:rsidR="007966A3" w:rsidRPr="00126A71">
        <w:t>SUMMARY</w:t>
      </w:r>
      <w:r w:rsidR="007966A3" w:rsidRPr="00126A71">
        <w:rPr>
          <w:spacing w:val="-4"/>
        </w:rPr>
        <w:t xml:space="preserve"> </w:t>
      </w:r>
      <w:r w:rsidR="007966A3" w:rsidRPr="00126A71">
        <w:t>DESCRIPTION OF</w:t>
      </w:r>
      <w:r w:rsidR="007966A3" w:rsidRPr="00126A71">
        <w:rPr>
          <w:spacing w:val="-3"/>
        </w:rPr>
        <w:t xml:space="preserve"> </w:t>
      </w:r>
      <w:r w:rsidR="007966A3" w:rsidRPr="00126A71">
        <w:t>BUSINESS</w:t>
      </w:r>
    </w:p>
    <w:p w14:paraId="599A6236" w14:textId="142B5B36" w:rsidR="007B6EE2" w:rsidRPr="00126A71" w:rsidRDefault="007966A3" w:rsidP="00F14234">
      <w:pPr>
        <w:pStyle w:val="Heading1"/>
        <w:ind w:left="0"/>
      </w:pPr>
      <w:r w:rsidRPr="00126A71">
        <w:t>What</w:t>
      </w:r>
      <w:r w:rsidRPr="00126A71">
        <w:rPr>
          <w:spacing w:val="-2"/>
        </w:rPr>
        <w:t xml:space="preserve"> </w:t>
      </w:r>
      <w:r w:rsidRPr="00126A71">
        <w:t>is</w:t>
      </w:r>
      <w:r w:rsidRPr="00126A71">
        <w:rPr>
          <w:spacing w:val="-2"/>
        </w:rPr>
        <w:t xml:space="preserve"> </w:t>
      </w:r>
      <w:r w:rsidRPr="00126A71">
        <w:t>our</w:t>
      </w:r>
      <w:r w:rsidRPr="00126A71">
        <w:rPr>
          <w:spacing w:val="-2"/>
        </w:rPr>
        <w:t xml:space="preserve"> </w:t>
      </w:r>
      <w:r w:rsidRPr="00126A71">
        <w:t>business?</w:t>
      </w:r>
    </w:p>
    <w:p w14:paraId="3DE9E118" w14:textId="5AA75144" w:rsidR="00006E6C" w:rsidRDefault="00667F94" w:rsidP="00F14234">
      <w:pPr>
        <w:pStyle w:val="BodyText"/>
        <w:jc w:val="both"/>
        <w:rPr>
          <w:lang w:val="en-CA"/>
        </w:rPr>
      </w:pPr>
      <w:r>
        <w:t>Fortune Bay</w:t>
      </w:r>
      <w:r w:rsidR="007B6EE2" w:rsidRPr="00126A71">
        <w:t xml:space="preserve"> is engaged in the acquisition, exploration, development, and operation of mineral properties, with its principal focus</w:t>
      </w:r>
      <w:r w:rsidR="001B6090">
        <w:t xml:space="preserve"> currently</w:t>
      </w:r>
      <w:r w:rsidR="007B6EE2" w:rsidRPr="00126A71">
        <w:t xml:space="preserve"> on the </w:t>
      </w:r>
      <w:r w:rsidR="00BF08F4" w:rsidRPr="00BF08F4">
        <w:t xml:space="preserve">Goldfields Gold Project </w:t>
      </w:r>
      <w:r w:rsidR="007E3967">
        <w:t>(the “</w:t>
      </w:r>
      <w:r w:rsidR="00BF08F4" w:rsidRPr="00BF08F4">
        <w:rPr>
          <w:b/>
          <w:bCs/>
        </w:rPr>
        <w:t>Goldfields</w:t>
      </w:r>
      <w:r w:rsidR="00FC017A">
        <w:rPr>
          <w:b/>
          <w:bCs/>
        </w:rPr>
        <w:t xml:space="preserve"> Project</w:t>
      </w:r>
      <w:r w:rsidR="00BF08F4">
        <w:t>"</w:t>
      </w:r>
      <w:r w:rsidR="007E3967">
        <w:t xml:space="preserve">) </w:t>
      </w:r>
      <w:r w:rsidR="007B6EE2" w:rsidRPr="00126A71">
        <w:t xml:space="preserve">located </w:t>
      </w:r>
      <w:r w:rsidR="00BF08F4">
        <w:t>in northern Saskatchewan</w:t>
      </w:r>
      <w:r w:rsidR="007B6EE2" w:rsidRPr="00126A71">
        <w:t xml:space="preserve">. </w:t>
      </w:r>
      <w:r w:rsidR="00BF08F4" w:rsidRPr="00BF08F4">
        <w:rPr>
          <w:lang w:val="en-CA"/>
        </w:rPr>
        <w:t xml:space="preserve">The 100% owned </w:t>
      </w:r>
      <w:r w:rsidR="00FC017A">
        <w:rPr>
          <w:lang w:val="en-CA"/>
        </w:rPr>
        <w:t xml:space="preserve">Goldfields </w:t>
      </w:r>
      <w:r w:rsidR="00BF08F4" w:rsidRPr="00BF08F4">
        <w:rPr>
          <w:lang w:val="en-CA"/>
        </w:rPr>
        <w:t>Project</w:t>
      </w:r>
      <w:r w:rsidR="00BF08F4">
        <w:rPr>
          <w:lang w:val="en-CA"/>
        </w:rPr>
        <w:t xml:space="preserve"> </w:t>
      </w:r>
      <w:r w:rsidR="00BF08F4" w:rsidRPr="00BF08F4">
        <w:rPr>
          <w:lang w:val="en-CA"/>
        </w:rPr>
        <w:t xml:space="preserve">is located approximately 13 kilometres south of Uranium City, Saskatchewan. </w:t>
      </w:r>
      <w:r w:rsidR="00FC017A">
        <w:rPr>
          <w:lang w:val="en-CA"/>
        </w:rPr>
        <w:t xml:space="preserve">The </w:t>
      </w:r>
      <w:r w:rsidR="00BF08F4" w:rsidRPr="00BF08F4">
        <w:rPr>
          <w:lang w:val="en-CA"/>
        </w:rPr>
        <w:t>Goldfields</w:t>
      </w:r>
      <w:r w:rsidR="00FC017A">
        <w:rPr>
          <w:lang w:val="en-CA"/>
        </w:rPr>
        <w:t xml:space="preserve"> Project</w:t>
      </w:r>
      <w:r w:rsidR="00BF08F4" w:rsidRPr="00BF08F4">
        <w:rPr>
          <w:lang w:val="en-CA"/>
        </w:rPr>
        <w:t xml:space="preserve"> hosts the Box and Athona gold deposits,</w:t>
      </w:r>
      <w:r w:rsidR="00CA164C">
        <w:rPr>
          <w:lang w:val="en-CA"/>
        </w:rPr>
        <w:t xml:space="preserve"> which include current NI</w:t>
      </w:r>
      <w:r w:rsidR="00331E42">
        <w:rPr>
          <w:lang w:val="en-CA"/>
        </w:rPr>
        <w:t xml:space="preserve"> </w:t>
      </w:r>
      <w:r w:rsidR="00CA164C">
        <w:rPr>
          <w:lang w:val="en-CA"/>
        </w:rPr>
        <w:t>43-101</w:t>
      </w:r>
      <w:r w:rsidR="00A24405">
        <w:rPr>
          <w:lang w:val="en-CA"/>
        </w:rPr>
        <w:t xml:space="preserve"> mineral resources of 0.</w:t>
      </w:r>
      <w:r w:rsidR="00137470">
        <w:rPr>
          <w:lang w:val="en-CA"/>
        </w:rPr>
        <w:t>99 Moz in the Indicated category and 0.21 Moz in the Inferred category</w:t>
      </w:r>
      <w:r w:rsidR="00F52193">
        <w:rPr>
          <w:lang w:val="en-CA"/>
        </w:rPr>
        <w:t xml:space="preserve">. The project includes </w:t>
      </w:r>
      <w:r w:rsidR="00BF08F4" w:rsidRPr="00BF08F4">
        <w:rPr>
          <w:lang w:val="en-CA"/>
        </w:rPr>
        <w:t>additional gold showings</w:t>
      </w:r>
      <w:r w:rsidR="00F52193">
        <w:rPr>
          <w:lang w:val="en-CA"/>
        </w:rPr>
        <w:t xml:space="preserve"> (exploration targets)</w:t>
      </w:r>
      <w:r w:rsidR="00BF08F4" w:rsidRPr="00BF08F4">
        <w:rPr>
          <w:lang w:val="en-CA"/>
        </w:rPr>
        <w:t xml:space="preserve"> within the prospective Goldfields Syncline. The Box deposit was historically mined underground between 1939 and 1942, producing 64,000 ounces of gold.</w:t>
      </w:r>
      <w:r w:rsidR="00CE76E7">
        <w:rPr>
          <w:lang w:val="en-CA"/>
        </w:rPr>
        <w:t xml:space="preserve"> </w:t>
      </w:r>
      <w:r w:rsidR="00BF08F4" w:rsidRPr="00BF08F4">
        <w:rPr>
          <w:lang w:val="en-CA"/>
        </w:rPr>
        <w:t xml:space="preserve">The </w:t>
      </w:r>
      <w:r w:rsidR="00FC017A">
        <w:rPr>
          <w:lang w:val="en-CA"/>
        </w:rPr>
        <w:t xml:space="preserve">Goldfields </w:t>
      </w:r>
      <w:r w:rsidR="00BF08F4" w:rsidRPr="00BF08F4">
        <w:rPr>
          <w:lang w:val="en-CA"/>
        </w:rPr>
        <w:t>Project is located within a historical mining area and benefits from established infrastructure, including a road and hydro-powerline to the Box deposit. Nearby facilities and services in Uranium City include bulk fuel, civils contractors, and a commercial airport.</w:t>
      </w:r>
      <w:r w:rsidR="00046EAF">
        <w:rPr>
          <w:lang w:val="en-CA"/>
        </w:rPr>
        <w:t xml:space="preserve"> A Preliminary Economic Assessment completed </w:t>
      </w:r>
      <w:r w:rsidR="00565B64">
        <w:rPr>
          <w:lang w:val="en-CA"/>
        </w:rPr>
        <w:t>in 2025 (see</w:t>
      </w:r>
      <w:r w:rsidR="00331E42">
        <w:rPr>
          <w:lang w:val="en-CA"/>
        </w:rPr>
        <w:t xml:space="preserve"> the Company’s</w:t>
      </w:r>
      <w:r w:rsidR="00565B64">
        <w:rPr>
          <w:lang w:val="en-CA"/>
        </w:rPr>
        <w:t xml:space="preserve"> </w:t>
      </w:r>
      <w:hyperlink r:id="rId14" w:history="1">
        <w:r w:rsidR="00565B64" w:rsidRPr="00B31FBA">
          <w:rPr>
            <w:rStyle w:val="Hyperlink"/>
            <w:lang w:val="en-CA"/>
          </w:rPr>
          <w:t>news release</w:t>
        </w:r>
        <w:r w:rsidR="00B31FBA" w:rsidRPr="00B31FBA">
          <w:rPr>
            <w:rStyle w:val="Hyperlink"/>
            <w:lang w:val="en-CA"/>
          </w:rPr>
          <w:t xml:space="preserve"> dated September 23, 2025</w:t>
        </w:r>
      </w:hyperlink>
      <w:r w:rsidR="00565B64">
        <w:rPr>
          <w:lang w:val="en-CA"/>
        </w:rPr>
        <w:t>) showed an after-tax NPV5% of C$610</w:t>
      </w:r>
      <w:r w:rsidR="003B7E0E">
        <w:rPr>
          <w:lang w:val="en-CA"/>
        </w:rPr>
        <w:t xml:space="preserve"> million at a base-case gold price of US$2,600.</w:t>
      </w:r>
    </w:p>
    <w:p w14:paraId="4AA1142D" w14:textId="34179B78" w:rsidR="00D768FE" w:rsidRPr="00CE76E7" w:rsidRDefault="00D768FE" w:rsidP="00F14234">
      <w:pPr>
        <w:pStyle w:val="BodyText"/>
        <w:jc w:val="both"/>
        <w:rPr>
          <w:lang w:val="en-CA"/>
        </w:rPr>
      </w:pPr>
      <w:r>
        <w:rPr>
          <w:lang w:val="en-CA"/>
        </w:rPr>
        <w:lastRenderedPageBreak/>
        <w:t>Fortune Bay is also currently seeking to establish exploration agreements with local communities on it</w:t>
      </w:r>
      <w:r w:rsidR="00BE322C">
        <w:rPr>
          <w:lang w:val="en-CA"/>
        </w:rPr>
        <w:t>s 100% owned Poma Rosa Project (</w:t>
      </w:r>
      <w:r w:rsidR="00FC017A">
        <w:rPr>
          <w:lang w:val="en-CA"/>
        </w:rPr>
        <w:t xml:space="preserve">the </w:t>
      </w:r>
      <w:r w:rsidR="00BE322C">
        <w:rPr>
          <w:lang w:val="en-CA"/>
        </w:rPr>
        <w:t>“</w:t>
      </w:r>
      <w:r w:rsidR="00BE322C" w:rsidRPr="00551FD1">
        <w:rPr>
          <w:b/>
          <w:bCs/>
          <w:lang w:val="en-CA"/>
        </w:rPr>
        <w:t>Poma Rosa</w:t>
      </w:r>
      <w:r w:rsidR="00FC017A">
        <w:rPr>
          <w:b/>
          <w:bCs/>
          <w:lang w:val="en-CA"/>
        </w:rPr>
        <w:t xml:space="preserve"> Project</w:t>
      </w:r>
      <w:r w:rsidR="00BE322C">
        <w:rPr>
          <w:lang w:val="en-CA"/>
        </w:rPr>
        <w:t>”) in Chiapas, Mexico.</w:t>
      </w:r>
      <w:r w:rsidR="009B4079">
        <w:rPr>
          <w:lang w:val="en-CA"/>
        </w:rPr>
        <w:t xml:space="preserve"> Subject to execution of these agreements, the Company intends to </w:t>
      </w:r>
      <w:r w:rsidR="000D14E7">
        <w:rPr>
          <w:lang w:val="en-CA"/>
        </w:rPr>
        <w:t>update a historical mineral resource estimate for the Poma Rosa Project</w:t>
      </w:r>
      <w:r w:rsidR="000475F2">
        <w:rPr>
          <w:lang w:val="en-CA"/>
        </w:rPr>
        <w:t xml:space="preserve">, to further explore </w:t>
      </w:r>
      <w:r w:rsidR="003A512F">
        <w:rPr>
          <w:lang w:val="en-CA"/>
        </w:rPr>
        <w:t>resource expansion opportunities</w:t>
      </w:r>
      <w:r w:rsidR="001F343C">
        <w:rPr>
          <w:lang w:val="en-CA"/>
        </w:rPr>
        <w:t>,</w:t>
      </w:r>
      <w:r w:rsidR="003A512F">
        <w:rPr>
          <w:lang w:val="en-CA"/>
        </w:rPr>
        <w:t xml:space="preserve"> and</w:t>
      </w:r>
      <w:r w:rsidR="001F343C">
        <w:rPr>
          <w:lang w:val="en-CA"/>
        </w:rPr>
        <w:t xml:space="preserve"> to initiate</w:t>
      </w:r>
      <w:r w:rsidR="003A512F">
        <w:rPr>
          <w:lang w:val="en-CA"/>
        </w:rPr>
        <w:t xml:space="preserve"> exploration of additional gold and copper targets.</w:t>
      </w:r>
    </w:p>
    <w:p w14:paraId="79EA68FA" w14:textId="6B7AAEE2" w:rsidR="008B417E" w:rsidRPr="00126A71" w:rsidRDefault="00006E6C" w:rsidP="007827D1">
      <w:pPr>
        <w:pStyle w:val="BodyText"/>
        <w:jc w:val="both"/>
      </w:pPr>
      <w:r>
        <w:t xml:space="preserve">Further information regarding the business and operations of the Company, the </w:t>
      </w:r>
      <w:r w:rsidR="00FC017A">
        <w:t xml:space="preserve">Goldfields </w:t>
      </w:r>
      <w:r>
        <w:t>Project</w:t>
      </w:r>
      <w:r w:rsidR="00FC017A">
        <w:t>, the Poma Rosa Project</w:t>
      </w:r>
      <w:r>
        <w:t xml:space="preserve"> and the other projects of the Company, can be found in </w:t>
      </w:r>
      <w:r w:rsidR="00667F94">
        <w:t>Fortune Bay</w:t>
      </w:r>
      <w:r w:rsidRPr="00126A71">
        <w:t xml:space="preserve">’s reports and filings available under the Company’s SEDAR+ profile at </w:t>
      </w:r>
      <w:hyperlink r:id="rId15" w:tgtFrame="_new" w:history="1">
        <w:r w:rsidRPr="00126A71">
          <w:rPr>
            <w:rStyle w:val="Hyperlink"/>
          </w:rPr>
          <w:t>www.sedarplus.ca</w:t>
        </w:r>
      </w:hyperlink>
      <w:r>
        <w:t>.</w:t>
      </w:r>
    </w:p>
    <w:p w14:paraId="10C4ED0C" w14:textId="335F3B78" w:rsidR="00D71154" w:rsidRPr="00126A71" w:rsidRDefault="007966A3" w:rsidP="00EB5464">
      <w:pPr>
        <w:pStyle w:val="Heading1"/>
        <w:ind w:left="0"/>
      </w:pPr>
      <w:r w:rsidRPr="00126A71">
        <w:t>Recent</w:t>
      </w:r>
      <w:r w:rsidRPr="00126A71">
        <w:rPr>
          <w:spacing w:val="-4"/>
        </w:rPr>
        <w:t xml:space="preserve"> </w:t>
      </w:r>
      <w:r w:rsidRPr="00126A71">
        <w:t>developments</w:t>
      </w:r>
    </w:p>
    <w:p w14:paraId="4C591931" w14:textId="209BF939" w:rsidR="004B3293" w:rsidRPr="00126A71" w:rsidRDefault="00006E6C" w:rsidP="00A07906">
      <w:pPr>
        <w:pStyle w:val="BodyText"/>
        <w:jc w:val="both"/>
      </w:pPr>
      <w:r>
        <w:t>There are no material recent developments in respect of the Company that have not been disclosed in this offering document or in any other document filed by the Company in the 12 months preceding the date of this offering document</w:t>
      </w:r>
      <w:r w:rsidR="00D71154" w:rsidRPr="00126A71">
        <w:t>.</w:t>
      </w:r>
    </w:p>
    <w:p w14:paraId="545FB7F8" w14:textId="08C224C6" w:rsidR="00DD344E" w:rsidRPr="00126A71" w:rsidRDefault="007966A3" w:rsidP="00EB5464">
      <w:pPr>
        <w:pStyle w:val="Heading1"/>
        <w:spacing w:before="87"/>
        <w:ind w:left="0"/>
      </w:pPr>
      <w:r w:rsidRPr="00126A71">
        <w:t>Material</w:t>
      </w:r>
      <w:r w:rsidRPr="00126A71">
        <w:rPr>
          <w:spacing w:val="-3"/>
        </w:rPr>
        <w:t xml:space="preserve"> </w:t>
      </w:r>
      <w:r w:rsidRPr="00126A71">
        <w:t>facts</w:t>
      </w:r>
    </w:p>
    <w:p w14:paraId="5EC56DB7" w14:textId="4C27FD0A" w:rsidR="00DD344E" w:rsidRPr="00126A71" w:rsidRDefault="007966A3" w:rsidP="00A07906">
      <w:pPr>
        <w:pStyle w:val="BodyText"/>
        <w:jc w:val="both"/>
      </w:pPr>
      <w:r w:rsidRPr="00126A71">
        <w:t>There are no material facts about the securities being distributed that have not been disclosed in this</w:t>
      </w:r>
      <w:r w:rsidRPr="00126A71">
        <w:rPr>
          <w:spacing w:val="1"/>
        </w:rPr>
        <w:t xml:space="preserve"> </w:t>
      </w:r>
      <w:r w:rsidRPr="00126A71">
        <w:t>offering document or in any other document filed by the Company in the 12 months preceding the date of</w:t>
      </w:r>
      <w:r w:rsidRPr="00126A71">
        <w:rPr>
          <w:spacing w:val="1"/>
        </w:rPr>
        <w:t xml:space="preserve"> </w:t>
      </w:r>
      <w:r w:rsidRPr="00126A71">
        <w:t>this</w:t>
      </w:r>
      <w:r w:rsidRPr="00126A71">
        <w:rPr>
          <w:spacing w:val="-1"/>
        </w:rPr>
        <w:t xml:space="preserve"> </w:t>
      </w:r>
      <w:r w:rsidRPr="00126A71">
        <w:t>offering</w:t>
      </w:r>
      <w:r w:rsidRPr="00126A71">
        <w:rPr>
          <w:spacing w:val="-1"/>
        </w:rPr>
        <w:t xml:space="preserve"> </w:t>
      </w:r>
      <w:r w:rsidRPr="00126A71">
        <w:t>document.</w:t>
      </w:r>
    </w:p>
    <w:p w14:paraId="72E48413" w14:textId="165444D5" w:rsidR="00DD344E" w:rsidRPr="00126A71" w:rsidRDefault="007966A3" w:rsidP="009C20E7">
      <w:pPr>
        <w:pStyle w:val="Heading1"/>
        <w:ind w:left="0"/>
      </w:pPr>
      <w:r w:rsidRPr="00126A71">
        <w:t>What</w:t>
      </w:r>
      <w:r w:rsidRPr="00126A71">
        <w:rPr>
          <w:spacing w:val="-3"/>
        </w:rPr>
        <w:t xml:space="preserve"> </w:t>
      </w:r>
      <w:r w:rsidRPr="00126A71">
        <w:t>are</w:t>
      </w:r>
      <w:r w:rsidRPr="00126A71">
        <w:rPr>
          <w:spacing w:val="-3"/>
        </w:rPr>
        <w:t xml:space="preserve"> </w:t>
      </w:r>
      <w:r w:rsidRPr="00126A71">
        <w:t>the</w:t>
      </w:r>
      <w:r w:rsidRPr="00126A71">
        <w:rPr>
          <w:spacing w:val="-3"/>
        </w:rPr>
        <w:t xml:space="preserve"> </w:t>
      </w:r>
      <w:r w:rsidRPr="00126A71">
        <w:t>business</w:t>
      </w:r>
      <w:r w:rsidRPr="00126A71">
        <w:rPr>
          <w:spacing w:val="-2"/>
        </w:rPr>
        <w:t xml:space="preserve"> </w:t>
      </w:r>
      <w:r w:rsidRPr="00126A71">
        <w:t>objectives</w:t>
      </w:r>
      <w:r w:rsidRPr="00126A71">
        <w:rPr>
          <w:spacing w:val="-3"/>
        </w:rPr>
        <w:t xml:space="preserve"> </w:t>
      </w:r>
      <w:r w:rsidRPr="00126A71">
        <w:t>that</w:t>
      </w:r>
      <w:r w:rsidRPr="00126A71">
        <w:rPr>
          <w:spacing w:val="-3"/>
        </w:rPr>
        <w:t xml:space="preserve"> </w:t>
      </w:r>
      <w:r w:rsidRPr="00126A71">
        <w:t>we expect</w:t>
      </w:r>
      <w:r w:rsidRPr="00126A71">
        <w:rPr>
          <w:spacing w:val="-3"/>
        </w:rPr>
        <w:t xml:space="preserve"> </w:t>
      </w:r>
      <w:r w:rsidRPr="00126A71">
        <w:t>to</w:t>
      </w:r>
      <w:r w:rsidRPr="00126A71">
        <w:rPr>
          <w:spacing w:val="-2"/>
        </w:rPr>
        <w:t xml:space="preserve"> </w:t>
      </w:r>
      <w:r w:rsidRPr="00126A71">
        <w:t>accomplish</w:t>
      </w:r>
      <w:r w:rsidRPr="00126A71">
        <w:rPr>
          <w:spacing w:val="-2"/>
        </w:rPr>
        <w:t xml:space="preserve"> </w:t>
      </w:r>
      <w:r w:rsidRPr="00126A71">
        <w:t>using</w:t>
      </w:r>
      <w:r w:rsidRPr="00126A71">
        <w:rPr>
          <w:spacing w:val="-2"/>
        </w:rPr>
        <w:t xml:space="preserve"> </w:t>
      </w:r>
      <w:r w:rsidRPr="00126A71">
        <w:t>the</w:t>
      </w:r>
      <w:r w:rsidRPr="00126A71">
        <w:rPr>
          <w:spacing w:val="-1"/>
        </w:rPr>
        <w:t xml:space="preserve"> </w:t>
      </w:r>
      <w:r w:rsidRPr="00126A71">
        <w:t>available</w:t>
      </w:r>
      <w:r w:rsidRPr="00126A71">
        <w:rPr>
          <w:spacing w:val="-1"/>
        </w:rPr>
        <w:t xml:space="preserve"> </w:t>
      </w:r>
      <w:r w:rsidRPr="00126A71">
        <w:t>funds?</w:t>
      </w:r>
    </w:p>
    <w:p w14:paraId="14F76B91" w14:textId="749AAE1C" w:rsidR="005B18F5" w:rsidRDefault="005B18F5" w:rsidP="00A07906">
      <w:pPr>
        <w:pStyle w:val="BodyText"/>
        <w:jc w:val="both"/>
      </w:pPr>
      <w:r>
        <w:t>The Company intends to use the gross proceeds from the sale of CFT Shares to incur Qualifying Expenditures related to the</w:t>
      </w:r>
      <w:r w:rsidR="00FC017A">
        <w:t xml:space="preserve"> Goldfields</w:t>
      </w:r>
      <w:r>
        <w:t xml:space="preserve"> Project, on or before December 31, 2026. The Company intends to use the net proceeds from the sale of HD Shares </w:t>
      </w:r>
      <w:r w:rsidRPr="003040EC">
        <w:t xml:space="preserve">for </w:t>
      </w:r>
      <w:r w:rsidR="00605FDE" w:rsidRPr="00605FDE">
        <w:t xml:space="preserve">commencement of permitting activities and </w:t>
      </w:r>
      <w:r w:rsidR="00FB7819">
        <w:t>studies toward</w:t>
      </w:r>
      <w:r w:rsidR="00605FDE" w:rsidRPr="00605FDE">
        <w:t xml:space="preserve"> a pre-feasibility study for the Goldfields Project</w:t>
      </w:r>
      <w:r w:rsidR="004C3AF2">
        <w:t>,</w:t>
      </w:r>
      <w:r w:rsidR="005222B5">
        <w:t xml:space="preserve"> commencement of exploration at </w:t>
      </w:r>
      <w:r w:rsidR="00D86604">
        <w:t xml:space="preserve">the </w:t>
      </w:r>
      <w:r w:rsidR="005222B5">
        <w:t>Poma Rosa</w:t>
      </w:r>
      <w:r w:rsidR="001F1DA8">
        <w:t xml:space="preserve"> </w:t>
      </w:r>
      <w:r w:rsidR="00D86604">
        <w:t xml:space="preserve">Project </w:t>
      </w:r>
      <w:r w:rsidR="001F1DA8">
        <w:t xml:space="preserve">subject to </w:t>
      </w:r>
      <w:r w:rsidR="006E54FE">
        <w:t xml:space="preserve">reaching community exploration agreements and receiving </w:t>
      </w:r>
      <w:r w:rsidR="00DF4802">
        <w:t>government permits</w:t>
      </w:r>
      <w:r w:rsidR="00CE76E7" w:rsidRPr="003040EC">
        <w:t>,</w:t>
      </w:r>
      <w:r w:rsidR="00CE76E7">
        <w:t xml:space="preserve"> </w:t>
      </w:r>
      <w:r w:rsidR="00DF4802">
        <w:t>and</w:t>
      </w:r>
      <w:r w:rsidR="00CE76E7">
        <w:rPr>
          <w:b/>
          <w:bCs/>
        </w:rPr>
        <w:t xml:space="preserve"> </w:t>
      </w:r>
      <w:r>
        <w:t>working capital and general corporate purposes over a period of 12 months following the closing of the Offering.</w:t>
      </w:r>
    </w:p>
    <w:p w14:paraId="55E13B3F" w14:textId="6FD8B931" w:rsidR="002304F2" w:rsidRPr="00126A71" w:rsidRDefault="008B417E" w:rsidP="00A07906">
      <w:pPr>
        <w:pStyle w:val="BodyText"/>
        <w:jc w:val="both"/>
      </w:pPr>
      <w:r w:rsidRPr="00126A71">
        <w:t xml:space="preserve">The following table sets out: (i) the business objectives the </w:t>
      </w:r>
      <w:r w:rsidR="001661BE" w:rsidRPr="00126A71">
        <w:t>Company</w:t>
      </w:r>
      <w:r w:rsidRPr="00126A71">
        <w:t xml:space="preserve"> expects to accomplish using its available funds following the Offering; (ii) the significant event(s) that must occur for each business objective to be accomplished; and (iii) the anticipated time period for completion and estimated cost for each such event.</w:t>
      </w:r>
    </w:p>
    <w:tbl>
      <w:tblPr>
        <w:tblStyle w:val="TableGrid"/>
        <w:tblW w:w="5000" w:type="pct"/>
        <w:tblLook w:val="04A0" w:firstRow="1" w:lastRow="0" w:firstColumn="1" w:lastColumn="0" w:noHBand="0" w:noVBand="1"/>
      </w:tblPr>
      <w:tblGrid>
        <w:gridCol w:w="2348"/>
        <w:gridCol w:w="3364"/>
        <w:gridCol w:w="2061"/>
        <w:gridCol w:w="1977"/>
      </w:tblGrid>
      <w:tr w:rsidR="008B417E" w:rsidRPr="00126A71" w14:paraId="6DDDB7B3" w14:textId="77777777" w:rsidTr="0040656A">
        <w:trPr>
          <w:cantSplit/>
          <w:trHeight w:val="503"/>
          <w:tblHeader/>
        </w:trPr>
        <w:tc>
          <w:tcPr>
            <w:tcW w:w="1204" w:type="pct"/>
            <w:shd w:val="clear" w:color="auto" w:fill="D9D9D9" w:themeFill="background1" w:themeFillShade="D9"/>
          </w:tcPr>
          <w:p w14:paraId="027BDC0B" w14:textId="77777777" w:rsidR="008B417E" w:rsidRPr="00126A71" w:rsidRDefault="008B417E">
            <w:pPr>
              <w:jc w:val="center"/>
              <w:rPr>
                <w:b/>
              </w:rPr>
            </w:pPr>
            <w:bookmarkStart w:id="2" w:name="_Hlk134445535"/>
            <w:r w:rsidRPr="00126A71">
              <w:rPr>
                <w:b/>
              </w:rPr>
              <w:t>Business Objectives</w:t>
            </w:r>
          </w:p>
        </w:tc>
        <w:tc>
          <w:tcPr>
            <w:tcW w:w="1725" w:type="pct"/>
            <w:shd w:val="clear" w:color="auto" w:fill="D9D9D9" w:themeFill="background1" w:themeFillShade="D9"/>
          </w:tcPr>
          <w:p w14:paraId="64B55175" w14:textId="77777777" w:rsidR="008B417E" w:rsidRPr="00126A71" w:rsidRDefault="008B417E">
            <w:pPr>
              <w:jc w:val="center"/>
              <w:rPr>
                <w:b/>
              </w:rPr>
            </w:pPr>
            <w:r w:rsidRPr="00126A71">
              <w:rPr>
                <w:b/>
              </w:rPr>
              <w:t>Preceding Significant Event(s) (each, an “Event”)</w:t>
            </w:r>
          </w:p>
        </w:tc>
        <w:tc>
          <w:tcPr>
            <w:tcW w:w="1057" w:type="pct"/>
            <w:shd w:val="clear" w:color="auto" w:fill="D9D9D9" w:themeFill="background1" w:themeFillShade="D9"/>
          </w:tcPr>
          <w:p w14:paraId="1B02EFF1" w14:textId="77777777" w:rsidR="008B417E" w:rsidRPr="00126A71" w:rsidRDefault="008B417E">
            <w:pPr>
              <w:jc w:val="center"/>
              <w:rPr>
                <w:b/>
              </w:rPr>
            </w:pPr>
            <w:r w:rsidRPr="00126A71">
              <w:rPr>
                <w:b/>
              </w:rPr>
              <w:t>Expected Time Period for Event</w:t>
            </w:r>
          </w:p>
        </w:tc>
        <w:tc>
          <w:tcPr>
            <w:tcW w:w="1014" w:type="pct"/>
            <w:shd w:val="clear" w:color="auto" w:fill="D9D9D9" w:themeFill="background1" w:themeFillShade="D9"/>
          </w:tcPr>
          <w:p w14:paraId="5ABBB363" w14:textId="739E033B" w:rsidR="008B417E" w:rsidRPr="00126A71" w:rsidRDefault="00AF1C09">
            <w:pPr>
              <w:jc w:val="center"/>
              <w:rPr>
                <w:b/>
              </w:rPr>
            </w:pPr>
            <w:r>
              <w:rPr>
                <w:b/>
              </w:rPr>
              <w:t xml:space="preserve">Estimated </w:t>
            </w:r>
            <w:r w:rsidR="008B417E" w:rsidRPr="00126A71">
              <w:rPr>
                <w:b/>
              </w:rPr>
              <w:t>Cost</w:t>
            </w:r>
            <w:r>
              <w:rPr>
                <w:b/>
              </w:rPr>
              <w:t>s</w:t>
            </w:r>
            <w:r w:rsidR="008B417E" w:rsidRPr="00126A71">
              <w:rPr>
                <w:b/>
              </w:rPr>
              <w:t xml:space="preserve"> Related to Event</w:t>
            </w:r>
          </w:p>
        </w:tc>
      </w:tr>
      <w:tr w:rsidR="008B417E" w:rsidRPr="00126A71" w14:paraId="018E4329" w14:textId="77777777" w:rsidTr="0040656A">
        <w:trPr>
          <w:cantSplit/>
        </w:trPr>
        <w:tc>
          <w:tcPr>
            <w:tcW w:w="1204" w:type="pct"/>
          </w:tcPr>
          <w:p w14:paraId="5DDE2174" w14:textId="7744AD58" w:rsidR="008B417E" w:rsidRPr="00126A71" w:rsidRDefault="0040656A" w:rsidP="00A07906">
            <w:r>
              <w:t>Mineral r</w:t>
            </w:r>
            <w:r w:rsidR="00F41806">
              <w:t>esource expansion and e</w:t>
            </w:r>
            <w:r w:rsidR="008B417E" w:rsidRPr="00126A71">
              <w:t xml:space="preserve">xploration </w:t>
            </w:r>
            <w:r w:rsidR="00F41806">
              <w:t xml:space="preserve">drilling at </w:t>
            </w:r>
            <w:r w:rsidR="00FC017A">
              <w:t xml:space="preserve">the </w:t>
            </w:r>
            <w:r w:rsidR="00F41806">
              <w:t>Goldfields</w:t>
            </w:r>
            <w:r w:rsidR="00FC017A">
              <w:t xml:space="preserve"> Project.</w:t>
            </w:r>
          </w:p>
        </w:tc>
        <w:tc>
          <w:tcPr>
            <w:tcW w:w="1725" w:type="pct"/>
          </w:tcPr>
          <w:p w14:paraId="2DB63FE0" w14:textId="7820FD23" w:rsidR="008B417E" w:rsidRPr="00126A71" w:rsidRDefault="00C63CEB">
            <w:r>
              <w:t xml:space="preserve">Drill permits </w:t>
            </w:r>
            <w:r w:rsidR="007279B4">
              <w:t xml:space="preserve">are </w:t>
            </w:r>
            <w:r w:rsidR="00D03FDD">
              <w:t xml:space="preserve">on hand </w:t>
            </w:r>
            <w:r w:rsidR="009C0280">
              <w:t>and</w:t>
            </w:r>
            <w:r w:rsidR="0040656A">
              <w:t xml:space="preserve"> c</w:t>
            </w:r>
            <w:r w:rsidR="00A04B85">
              <w:t xml:space="preserve">ontractor </w:t>
            </w:r>
            <w:r w:rsidR="009C0280">
              <w:t xml:space="preserve">drilling rig </w:t>
            </w:r>
            <w:r w:rsidR="00D03FDD">
              <w:t>is</w:t>
            </w:r>
            <w:r w:rsidR="009C0280">
              <w:t xml:space="preserve"> </w:t>
            </w:r>
            <w:r w:rsidR="00A04B85">
              <w:t>near site.</w:t>
            </w:r>
          </w:p>
        </w:tc>
        <w:tc>
          <w:tcPr>
            <w:tcW w:w="1057" w:type="pct"/>
          </w:tcPr>
          <w:p w14:paraId="43BD3AF5" w14:textId="16873747" w:rsidR="009C20E7" w:rsidRPr="00126A71" w:rsidRDefault="00420310">
            <w:r>
              <w:t xml:space="preserve">Expected to </w:t>
            </w:r>
            <w:r w:rsidR="00C4626E">
              <w:t xml:space="preserve">commence </w:t>
            </w:r>
            <w:r w:rsidR="0040656A">
              <w:t xml:space="preserve">in </w:t>
            </w:r>
            <w:r w:rsidR="008F5855">
              <w:t xml:space="preserve">January 2026 and </w:t>
            </w:r>
            <w:r>
              <w:t>be completed prior to December 31, 2026.</w:t>
            </w:r>
          </w:p>
        </w:tc>
        <w:tc>
          <w:tcPr>
            <w:tcW w:w="1014" w:type="pct"/>
          </w:tcPr>
          <w:p w14:paraId="76EDD2E6" w14:textId="11A5BF65" w:rsidR="009C20E7" w:rsidRDefault="008B417E" w:rsidP="00CE76E7">
            <w:pPr>
              <w:jc w:val="center"/>
            </w:pPr>
            <w:r w:rsidRPr="00E27DD6">
              <w:t>$</w:t>
            </w:r>
            <w:r w:rsidR="008F5855">
              <w:t>2,</w:t>
            </w:r>
            <w:r w:rsidR="00F665E6">
              <w:t>0</w:t>
            </w:r>
            <w:r w:rsidR="008F5855">
              <w:t>00,0</w:t>
            </w:r>
            <w:r w:rsidR="009B0B89">
              <w:t>71</w:t>
            </w:r>
          </w:p>
          <w:p w14:paraId="4D8BA6E3" w14:textId="3ECAF067" w:rsidR="009C20E7" w:rsidRPr="00E27DD6" w:rsidRDefault="00BB3B6F" w:rsidP="00CE76E7">
            <w:pPr>
              <w:jc w:val="center"/>
            </w:pPr>
            <w:r>
              <w:t>(Qualifying Expenditures)</w:t>
            </w:r>
          </w:p>
        </w:tc>
      </w:tr>
      <w:tr w:rsidR="00C07EE0" w:rsidRPr="00126A71" w14:paraId="287258DD" w14:textId="77777777" w:rsidTr="0040656A">
        <w:trPr>
          <w:cantSplit/>
        </w:trPr>
        <w:tc>
          <w:tcPr>
            <w:tcW w:w="1204" w:type="pct"/>
          </w:tcPr>
          <w:p w14:paraId="4BF0897E" w14:textId="4B338E45" w:rsidR="00C07EE0" w:rsidRDefault="00393C01" w:rsidP="00A07906">
            <w:r>
              <w:t>Permitting activities and s</w:t>
            </w:r>
            <w:r w:rsidR="00EB03C7">
              <w:t xml:space="preserve">tudies toward </w:t>
            </w:r>
            <w:r w:rsidR="00C07EE0">
              <w:t xml:space="preserve">Pre-Feasibility </w:t>
            </w:r>
            <w:r w:rsidR="00EB03C7">
              <w:t>Study</w:t>
            </w:r>
            <w:r w:rsidR="00C07EE0">
              <w:t xml:space="preserve"> for </w:t>
            </w:r>
            <w:r w:rsidR="00FC017A">
              <w:t>the Goldfields Project</w:t>
            </w:r>
            <w:r w:rsidR="00333419">
              <w:t>.</w:t>
            </w:r>
          </w:p>
        </w:tc>
        <w:tc>
          <w:tcPr>
            <w:tcW w:w="1725" w:type="pct"/>
          </w:tcPr>
          <w:p w14:paraId="65D77599" w14:textId="3950A808" w:rsidR="00C07EE0" w:rsidRDefault="00393C01" w:rsidP="008676CF">
            <w:r>
              <w:t>Permitting and e</w:t>
            </w:r>
            <w:r w:rsidR="004C7321">
              <w:t>ngage balance of consultants for the studies.</w:t>
            </w:r>
          </w:p>
        </w:tc>
        <w:tc>
          <w:tcPr>
            <w:tcW w:w="1057" w:type="pct"/>
          </w:tcPr>
          <w:p w14:paraId="15C74BB9" w14:textId="5E739585" w:rsidR="00C07EE0" w:rsidDel="00C4626E" w:rsidRDefault="00C07EE0" w:rsidP="008676CF">
            <w:r>
              <w:t xml:space="preserve">Ongoing. </w:t>
            </w:r>
            <w:r w:rsidR="00CF6838">
              <w:t>Expected to be completed prior to December 31, 2026.</w:t>
            </w:r>
          </w:p>
        </w:tc>
        <w:tc>
          <w:tcPr>
            <w:tcW w:w="1014" w:type="pct"/>
          </w:tcPr>
          <w:p w14:paraId="19B0A338" w14:textId="5661A694" w:rsidR="00A15F0F" w:rsidRPr="00E27DD6" w:rsidRDefault="00A15F0F" w:rsidP="0040656A">
            <w:pPr>
              <w:jc w:val="center"/>
            </w:pPr>
            <w:r>
              <w:t>$</w:t>
            </w:r>
            <w:r w:rsidRPr="00286EAC">
              <w:t>4,</w:t>
            </w:r>
            <w:r w:rsidR="00286EAC">
              <w:t>12</w:t>
            </w:r>
            <w:r w:rsidRPr="00286EAC">
              <w:t>0,000</w:t>
            </w:r>
          </w:p>
        </w:tc>
      </w:tr>
      <w:tr w:rsidR="00A07906" w:rsidRPr="00126A71" w14:paraId="63DBB819" w14:textId="77777777" w:rsidTr="0040656A">
        <w:trPr>
          <w:cantSplit/>
        </w:trPr>
        <w:tc>
          <w:tcPr>
            <w:tcW w:w="1204" w:type="pct"/>
          </w:tcPr>
          <w:p w14:paraId="34D9DB3A" w14:textId="6F6B9BA5" w:rsidR="00A07906" w:rsidRPr="00126A71" w:rsidRDefault="00CE76E7">
            <w:r>
              <w:t xml:space="preserve">Exploration of the Poma Rosa </w:t>
            </w:r>
            <w:r w:rsidR="00FC017A">
              <w:t>P</w:t>
            </w:r>
            <w:r>
              <w:t>roject</w:t>
            </w:r>
            <w:r w:rsidR="00333419">
              <w:t>.</w:t>
            </w:r>
          </w:p>
        </w:tc>
        <w:tc>
          <w:tcPr>
            <w:tcW w:w="1725" w:type="pct"/>
          </w:tcPr>
          <w:p w14:paraId="7B0B4BC0" w14:textId="7DB182B2" w:rsidR="00A07906" w:rsidRDefault="00FF0EA3" w:rsidP="008676CF">
            <w:r>
              <w:t>Reaching agreements with communities.</w:t>
            </w:r>
          </w:p>
          <w:p w14:paraId="24BBFD70" w14:textId="0B314F86" w:rsidR="00A07906" w:rsidRPr="00126A71" w:rsidRDefault="00FF0EA3">
            <w:r>
              <w:t xml:space="preserve">Obtaining requisite </w:t>
            </w:r>
            <w:r w:rsidR="001D2A68">
              <w:t>permits from Government agencies.</w:t>
            </w:r>
          </w:p>
        </w:tc>
        <w:tc>
          <w:tcPr>
            <w:tcW w:w="1057" w:type="pct"/>
          </w:tcPr>
          <w:p w14:paraId="5AF68275" w14:textId="31F357BE" w:rsidR="00A07906" w:rsidRPr="00126A71" w:rsidRDefault="003966AF">
            <w:r>
              <w:t xml:space="preserve">Expected to commence </w:t>
            </w:r>
            <w:r w:rsidR="0040656A">
              <w:t xml:space="preserve">in </w:t>
            </w:r>
            <w:r>
              <w:t>January 2026 and be completed prior to December 31, 2026</w:t>
            </w:r>
          </w:p>
        </w:tc>
        <w:tc>
          <w:tcPr>
            <w:tcW w:w="1014" w:type="pct"/>
          </w:tcPr>
          <w:p w14:paraId="3DF7BB5D" w14:textId="1C877BA2" w:rsidR="00A07906" w:rsidRPr="00E27DD6" w:rsidRDefault="00A07906" w:rsidP="0040656A">
            <w:pPr>
              <w:jc w:val="center"/>
            </w:pPr>
            <w:r w:rsidRPr="00E27DD6">
              <w:t>$</w:t>
            </w:r>
            <w:r w:rsidR="0064487D" w:rsidRPr="00286EAC">
              <w:t>1</w:t>
            </w:r>
            <w:r w:rsidR="000609FA" w:rsidRPr="00286EAC">
              <w:t>,</w:t>
            </w:r>
            <w:r w:rsidR="00286EAC">
              <w:t>0</w:t>
            </w:r>
            <w:r w:rsidR="000609FA" w:rsidRPr="00286EAC">
              <w:t>00,000</w:t>
            </w:r>
          </w:p>
        </w:tc>
      </w:tr>
      <w:tr w:rsidR="008B417E" w:rsidRPr="00126A71" w14:paraId="0AC6A26F" w14:textId="77777777" w:rsidTr="0040656A">
        <w:trPr>
          <w:cantSplit/>
          <w:trHeight w:val="70"/>
        </w:trPr>
        <w:tc>
          <w:tcPr>
            <w:tcW w:w="3986" w:type="pct"/>
            <w:gridSpan w:val="3"/>
          </w:tcPr>
          <w:p w14:paraId="49B33690" w14:textId="77777777" w:rsidR="008B417E" w:rsidRPr="00126A71" w:rsidRDefault="008B417E">
            <w:pPr>
              <w:jc w:val="right"/>
              <w:rPr>
                <w:b/>
              </w:rPr>
            </w:pPr>
            <w:r w:rsidRPr="00126A71">
              <w:rPr>
                <w:b/>
              </w:rPr>
              <w:t>TOTAL:</w:t>
            </w:r>
          </w:p>
        </w:tc>
        <w:tc>
          <w:tcPr>
            <w:tcW w:w="1014" w:type="pct"/>
          </w:tcPr>
          <w:p w14:paraId="7B4114C4" w14:textId="0CF27444" w:rsidR="008B417E" w:rsidRPr="001307B7" w:rsidRDefault="008B417E">
            <w:pPr>
              <w:jc w:val="center"/>
              <w:rPr>
                <w:b/>
              </w:rPr>
            </w:pPr>
            <w:r w:rsidRPr="001307B7">
              <w:rPr>
                <w:b/>
              </w:rPr>
              <w:t>$</w:t>
            </w:r>
            <w:r w:rsidR="00286EAC" w:rsidRPr="001307B7">
              <w:rPr>
                <w:b/>
              </w:rPr>
              <w:t>7</w:t>
            </w:r>
            <w:r w:rsidR="00B83B43" w:rsidRPr="001307B7">
              <w:rPr>
                <w:b/>
              </w:rPr>
              <w:t>,</w:t>
            </w:r>
            <w:r w:rsidR="00286EAC" w:rsidRPr="001307B7">
              <w:rPr>
                <w:b/>
              </w:rPr>
              <w:t>12</w:t>
            </w:r>
            <w:r w:rsidR="00B83B43" w:rsidRPr="001307B7">
              <w:rPr>
                <w:b/>
              </w:rPr>
              <w:t>0,0</w:t>
            </w:r>
            <w:r w:rsidR="009B0B89" w:rsidRPr="001307B7">
              <w:rPr>
                <w:b/>
              </w:rPr>
              <w:t>71</w:t>
            </w:r>
          </w:p>
        </w:tc>
      </w:tr>
    </w:tbl>
    <w:bookmarkEnd w:id="2"/>
    <w:p w14:paraId="248906B3" w14:textId="1E3798B4" w:rsidR="00B85428" w:rsidRDefault="00B85428" w:rsidP="007827D1">
      <w:pPr>
        <w:pStyle w:val="BodyText"/>
        <w:spacing w:before="240"/>
        <w:jc w:val="both"/>
      </w:pPr>
      <w:r w:rsidRPr="00551FD1">
        <w:rPr>
          <w:i/>
          <w:iCs/>
        </w:rPr>
        <w:t xml:space="preserve">Note: The above amounts and timelines are estimates only and may differ materially from actual results; in the event any significant events are not realized, the Company may reallocate the related funds to other business </w:t>
      </w:r>
      <w:r w:rsidRPr="00551FD1">
        <w:rPr>
          <w:i/>
          <w:iCs/>
        </w:rPr>
        <w:lastRenderedPageBreak/>
        <w:t>objectives or general corporate purposes</w:t>
      </w:r>
      <w:r w:rsidRPr="00B85428">
        <w:t>.</w:t>
      </w:r>
      <w:r w:rsidR="002304F2">
        <w:t xml:space="preserve"> </w:t>
      </w:r>
      <w:r w:rsidR="002304F2" w:rsidRPr="00126A71">
        <w:t xml:space="preserve">See the </w:t>
      </w:r>
      <w:r w:rsidR="002304F2">
        <w:t>“</w:t>
      </w:r>
      <w:r w:rsidR="002304F2" w:rsidRPr="00CC1A26">
        <w:rPr>
          <w:i/>
          <w:iCs/>
        </w:rPr>
        <w:t>Forward Looking Statements and the Material Factors, Assumptions and Risks Underlying Them</w:t>
      </w:r>
      <w:r w:rsidR="002304F2" w:rsidRPr="00126A71">
        <w:t>” section above.</w:t>
      </w:r>
    </w:p>
    <w:p w14:paraId="315591A4" w14:textId="216B181E" w:rsidR="009258F9" w:rsidRPr="005B18F5" w:rsidRDefault="005B18F5" w:rsidP="007827D1">
      <w:pPr>
        <w:pStyle w:val="BodyText"/>
        <w:spacing w:before="240"/>
        <w:jc w:val="both"/>
      </w:pPr>
      <w:r>
        <w:t>See “</w:t>
      </w:r>
      <w:r>
        <w:rPr>
          <w:i/>
          <w:iCs/>
        </w:rPr>
        <w:t>Use of Available Funds – How will we use the available funds?</w:t>
      </w:r>
      <w:r>
        <w:t>” below for additional information in respect of the anticipated use of available funds in respect of these business objectives and other anticipated uses of available funds.</w:t>
      </w:r>
    </w:p>
    <w:p w14:paraId="6A75F182" w14:textId="5EBA045F" w:rsidR="00B921B3" w:rsidRPr="00126A71" w:rsidRDefault="00DB5121" w:rsidP="009C20E7">
      <w:pPr>
        <w:pStyle w:val="Heading1"/>
        <w:spacing w:before="122"/>
        <w:ind w:left="0" w:right="1138"/>
      </w:pPr>
      <w:r w:rsidRPr="00126A71">
        <w:t xml:space="preserve">PART 3: </w:t>
      </w:r>
      <w:r w:rsidR="007966A3" w:rsidRPr="00126A71">
        <w:t>USE</w:t>
      </w:r>
      <w:r w:rsidR="007966A3" w:rsidRPr="00126A71">
        <w:rPr>
          <w:spacing w:val="-1"/>
        </w:rPr>
        <w:t xml:space="preserve"> </w:t>
      </w:r>
      <w:r w:rsidR="007966A3" w:rsidRPr="00126A71">
        <w:t>OF</w:t>
      </w:r>
      <w:r w:rsidR="007966A3" w:rsidRPr="00126A71">
        <w:rPr>
          <w:spacing w:val="-1"/>
        </w:rPr>
        <w:t xml:space="preserve"> </w:t>
      </w:r>
      <w:r w:rsidR="007966A3" w:rsidRPr="00126A71">
        <w:t>AVAILABLE</w:t>
      </w:r>
      <w:r w:rsidR="007966A3" w:rsidRPr="00126A71">
        <w:rPr>
          <w:spacing w:val="-3"/>
        </w:rPr>
        <w:t xml:space="preserve"> </w:t>
      </w:r>
      <w:r w:rsidR="007966A3" w:rsidRPr="00126A71">
        <w:t>FUNDS</w:t>
      </w:r>
    </w:p>
    <w:p w14:paraId="373170D1" w14:textId="35217688" w:rsidR="00DD344E" w:rsidRPr="00126A71" w:rsidRDefault="007966A3" w:rsidP="009C20E7">
      <w:pPr>
        <w:spacing w:after="240"/>
        <w:rPr>
          <w:b/>
        </w:rPr>
      </w:pPr>
      <w:r w:rsidRPr="00126A71">
        <w:rPr>
          <w:b/>
        </w:rPr>
        <w:t>What</w:t>
      </w:r>
      <w:r w:rsidRPr="00126A71">
        <w:rPr>
          <w:b/>
          <w:spacing w:val="-2"/>
        </w:rPr>
        <w:t xml:space="preserve"> </w:t>
      </w:r>
      <w:r w:rsidRPr="00126A71">
        <w:rPr>
          <w:b/>
        </w:rPr>
        <w:t>will</w:t>
      </w:r>
      <w:r w:rsidRPr="00126A71">
        <w:rPr>
          <w:b/>
          <w:spacing w:val="-2"/>
        </w:rPr>
        <w:t xml:space="preserve"> </w:t>
      </w:r>
      <w:r w:rsidRPr="00126A71">
        <w:rPr>
          <w:b/>
        </w:rPr>
        <w:t>our</w:t>
      </w:r>
      <w:r w:rsidRPr="00126A71">
        <w:rPr>
          <w:b/>
          <w:spacing w:val="-2"/>
        </w:rPr>
        <w:t xml:space="preserve"> </w:t>
      </w:r>
      <w:r w:rsidRPr="00126A71">
        <w:rPr>
          <w:b/>
        </w:rPr>
        <w:t>available</w:t>
      </w:r>
      <w:r w:rsidRPr="00126A71">
        <w:rPr>
          <w:b/>
          <w:spacing w:val="-1"/>
        </w:rPr>
        <w:t xml:space="preserve"> </w:t>
      </w:r>
      <w:r w:rsidRPr="00126A71">
        <w:rPr>
          <w:b/>
        </w:rPr>
        <w:t>funds</w:t>
      </w:r>
      <w:r w:rsidRPr="00126A71">
        <w:rPr>
          <w:b/>
          <w:spacing w:val="-2"/>
        </w:rPr>
        <w:t xml:space="preserve"> </w:t>
      </w:r>
      <w:r w:rsidRPr="00126A71">
        <w:rPr>
          <w:b/>
        </w:rPr>
        <w:t>be</w:t>
      </w:r>
      <w:r w:rsidRPr="00126A71">
        <w:rPr>
          <w:b/>
          <w:spacing w:val="-2"/>
        </w:rPr>
        <w:t xml:space="preserve"> </w:t>
      </w:r>
      <w:r w:rsidRPr="00126A71">
        <w:rPr>
          <w:b/>
        </w:rPr>
        <w:t>upon</w:t>
      </w:r>
      <w:r w:rsidRPr="00126A71">
        <w:rPr>
          <w:b/>
          <w:spacing w:val="-1"/>
        </w:rPr>
        <w:t xml:space="preserve"> </w:t>
      </w:r>
      <w:r w:rsidRPr="00126A71">
        <w:rPr>
          <w:b/>
        </w:rPr>
        <w:t>the</w:t>
      </w:r>
      <w:r w:rsidRPr="00126A71">
        <w:rPr>
          <w:b/>
          <w:spacing w:val="-1"/>
        </w:rPr>
        <w:t xml:space="preserve"> </w:t>
      </w:r>
      <w:r w:rsidRPr="00126A71">
        <w:rPr>
          <w:b/>
        </w:rPr>
        <w:t>closing</w:t>
      </w:r>
      <w:r w:rsidRPr="00126A71">
        <w:rPr>
          <w:b/>
          <w:spacing w:val="1"/>
        </w:rPr>
        <w:t xml:space="preserve"> </w:t>
      </w:r>
      <w:r w:rsidRPr="00126A71">
        <w:rPr>
          <w:b/>
        </w:rPr>
        <w:t>of</w:t>
      </w:r>
      <w:r w:rsidRPr="00126A71">
        <w:rPr>
          <w:b/>
          <w:spacing w:val="-1"/>
        </w:rPr>
        <w:t xml:space="preserve"> </w:t>
      </w:r>
      <w:r w:rsidRPr="00126A71">
        <w:rPr>
          <w:b/>
        </w:rPr>
        <w:t>the</w:t>
      </w:r>
      <w:r w:rsidRPr="00126A71">
        <w:rPr>
          <w:b/>
          <w:spacing w:val="-2"/>
        </w:rPr>
        <w:t xml:space="preserve"> </w:t>
      </w:r>
      <w:r w:rsidRPr="00126A71">
        <w:rPr>
          <w:b/>
        </w:rPr>
        <w:t>Offering?</w:t>
      </w:r>
    </w:p>
    <w:p w14:paraId="67A44A9A" w14:textId="4249EB70" w:rsidR="00B720E3" w:rsidRPr="00333A73" w:rsidRDefault="0004018E" w:rsidP="0004018E">
      <w:pPr>
        <w:pStyle w:val="BodyText"/>
        <w:jc w:val="both"/>
      </w:pPr>
      <w:r w:rsidRPr="00126A71">
        <w:t xml:space="preserve">Based on the Company’s existing estimated working capital as at </w:t>
      </w:r>
      <w:r w:rsidR="00CE76E7">
        <w:t>September 30</w:t>
      </w:r>
      <w:r w:rsidRPr="00126A71">
        <w:t xml:space="preserve">, 2025 of approximately </w:t>
      </w:r>
      <w:r w:rsidR="007A5160">
        <w:t>$1,100,000</w:t>
      </w:r>
      <w:r w:rsidRPr="00126A71">
        <w:t xml:space="preserve">, the Company’s </w:t>
      </w:r>
      <w:r>
        <w:t>available</w:t>
      </w:r>
      <w:r w:rsidRPr="00126A71">
        <w:t xml:space="preserve"> funds following closing of the Offering is expected to be approximately </w:t>
      </w:r>
      <w:r w:rsidR="007A5160">
        <w:t>$8,420,071 (assuming no exercise of the Option)</w:t>
      </w:r>
      <w:r w:rsidRPr="00126A71">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2"/>
        <w:gridCol w:w="3906"/>
        <w:gridCol w:w="2506"/>
        <w:gridCol w:w="2506"/>
      </w:tblGrid>
      <w:tr w:rsidR="009B0B89" w:rsidRPr="00126A71" w14:paraId="4AACE876" w14:textId="5C4AB0F5" w:rsidTr="009B0B89">
        <w:trPr>
          <w:trHeight w:val="650"/>
        </w:trPr>
        <w:tc>
          <w:tcPr>
            <w:tcW w:w="427" w:type="pct"/>
            <w:shd w:val="clear" w:color="auto" w:fill="D9D9D9"/>
          </w:tcPr>
          <w:p w14:paraId="6E6253B8" w14:textId="77777777" w:rsidR="009B0B89" w:rsidRPr="00126A71" w:rsidRDefault="009B0B89" w:rsidP="006430B5">
            <w:pPr>
              <w:pStyle w:val="TableParagraph"/>
              <w:spacing w:before="0"/>
              <w:rPr>
                <w:sz w:val="18"/>
              </w:rPr>
            </w:pPr>
          </w:p>
        </w:tc>
        <w:tc>
          <w:tcPr>
            <w:tcW w:w="2003" w:type="pct"/>
            <w:shd w:val="clear" w:color="auto" w:fill="D9D9D9"/>
          </w:tcPr>
          <w:p w14:paraId="4D32A2AB" w14:textId="77777777" w:rsidR="009B0B89" w:rsidRPr="00126A71" w:rsidRDefault="009B0B89" w:rsidP="006430B5">
            <w:pPr>
              <w:pStyle w:val="TableParagraph"/>
              <w:spacing w:before="0"/>
              <w:rPr>
                <w:sz w:val="18"/>
              </w:rPr>
            </w:pPr>
          </w:p>
        </w:tc>
        <w:tc>
          <w:tcPr>
            <w:tcW w:w="1285" w:type="pct"/>
            <w:shd w:val="clear" w:color="auto" w:fill="D9D9D9"/>
          </w:tcPr>
          <w:p w14:paraId="54B792FD" w14:textId="77777777" w:rsidR="009B0B89" w:rsidRDefault="009B0B89" w:rsidP="006430B5">
            <w:pPr>
              <w:jc w:val="center"/>
              <w:rPr>
                <w:b/>
                <w:bCs/>
              </w:rPr>
            </w:pPr>
            <w:r w:rsidRPr="00126A71">
              <w:rPr>
                <w:b/>
                <w:bCs/>
              </w:rPr>
              <w:t>Assuming 100% of the Offering</w:t>
            </w:r>
          </w:p>
          <w:p w14:paraId="2A975875" w14:textId="0AE3CC4E" w:rsidR="009B0B89" w:rsidRPr="00855086" w:rsidRDefault="009B0B89" w:rsidP="006430B5">
            <w:pPr>
              <w:jc w:val="center"/>
              <w:rPr>
                <w:b/>
                <w:bCs/>
                <w:vertAlign w:val="superscript"/>
              </w:rPr>
            </w:pPr>
            <w:r w:rsidRPr="00855086">
              <w:rPr>
                <w:b/>
                <w:bCs/>
              </w:rPr>
              <w:t>($)</w:t>
            </w:r>
            <w:r w:rsidR="00855086" w:rsidRPr="00855086">
              <w:rPr>
                <w:b/>
                <w:bCs/>
                <w:vertAlign w:val="superscript"/>
              </w:rPr>
              <w:t>(1)</w:t>
            </w:r>
          </w:p>
        </w:tc>
        <w:tc>
          <w:tcPr>
            <w:tcW w:w="1285" w:type="pct"/>
            <w:shd w:val="clear" w:color="auto" w:fill="D9D9D9"/>
          </w:tcPr>
          <w:p w14:paraId="3873917A" w14:textId="60217219" w:rsidR="009B0B89" w:rsidRPr="00126A71" w:rsidRDefault="009B0B89" w:rsidP="006430B5">
            <w:pPr>
              <w:jc w:val="center"/>
              <w:rPr>
                <w:b/>
                <w:bCs/>
              </w:rPr>
            </w:pPr>
            <w:r>
              <w:rPr>
                <w:b/>
                <w:bCs/>
              </w:rPr>
              <w:t>Assuming 100% of the Offering and full exercise of the Option (</w:t>
            </w:r>
            <w:r w:rsidR="005A3839">
              <w:rPr>
                <w:b/>
                <w:bCs/>
              </w:rPr>
              <w:t>$</w:t>
            </w:r>
            <w:r>
              <w:rPr>
                <w:b/>
                <w:bCs/>
              </w:rPr>
              <w:t>)</w:t>
            </w:r>
            <w:r w:rsidR="00855086" w:rsidRPr="00855086">
              <w:rPr>
                <w:b/>
                <w:bCs/>
                <w:vertAlign w:val="superscript"/>
              </w:rPr>
              <w:t>(1)</w:t>
            </w:r>
          </w:p>
        </w:tc>
      </w:tr>
      <w:tr w:rsidR="009B0B89" w:rsidRPr="00126A71" w14:paraId="03EF820D" w14:textId="44A0D36E" w:rsidTr="009B0B89">
        <w:trPr>
          <w:trHeight w:val="503"/>
        </w:trPr>
        <w:tc>
          <w:tcPr>
            <w:tcW w:w="427" w:type="pct"/>
          </w:tcPr>
          <w:p w14:paraId="665EDB92" w14:textId="77777777" w:rsidR="009B0B89" w:rsidRPr="00126A71" w:rsidRDefault="009B0B89" w:rsidP="0004018E">
            <w:pPr>
              <w:pStyle w:val="TableParagraph"/>
              <w:ind w:left="107"/>
            </w:pPr>
            <w:r w:rsidRPr="00126A71">
              <w:rPr>
                <w:w w:val="99"/>
              </w:rPr>
              <w:t>A</w:t>
            </w:r>
          </w:p>
        </w:tc>
        <w:tc>
          <w:tcPr>
            <w:tcW w:w="2003" w:type="pct"/>
          </w:tcPr>
          <w:p w14:paraId="601A4EAC" w14:textId="5CE9F41B" w:rsidR="009B0B89" w:rsidRPr="00126A71" w:rsidRDefault="009B0B89" w:rsidP="0004018E">
            <w:pPr>
              <w:pStyle w:val="TableParagraph"/>
              <w:ind w:left="105"/>
              <w:rPr>
                <w:vertAlign w:val="superscript"/>
              </w:rPr>
            </w:pPr>
            <w:r w:rsidRPr="00126A71">
              <w:t>Amount</w:t>
            </w:r>
            <w:r w:rsidRPr="00126A71">
              <w:rPr>
                <w:spacing w:val="-1"/>
              </w:rPr>
              <w:t xml:space="preserve"> </w:t>
            </w:r>
            <w:r w:rsidRPr="00126A71">
              <w:t>to</w:t>
            </w:r>
            <w:r w:rsidRPr="00126A71">
              <w:rPr>
                <w:spacing w:val="-2"/>
              </w:rPr>
              <w:t xml:space="preserve"> </w:t>
            </w:r>
            <w:r w:rsidRPr="00126A71">
              <w:t>be</w:t>
            </w:r>
            <w:r w:rsidRPr="00126A71">
              <w:rPr>
                <w:spacing w:val="-3"/>
              </w:rPr>
              <w:t xml:space="preserve"> </w:t>
            </w:r>
            <w:r w:rsidRPr="00126A71">
              <w:t>raised</w:t>
            </w:r>
            <w:r w:rsidRPr="00126A71">
              <w:rPr>
                <w:spacing w:val="-2"/>
              </w:rPr>
              <w:t xml:space="preserve"> </w:t>
            </w:r>
            <w:r w:rsidRPr="00126A71">
              <w:t>by</w:t>
            </w:r>
            <w:r w:rsidRPr="00126A71">
              <w:rPr>
                <w:spacing w:val="-2"/>
              </w:rPr>
              <w:t xml:space="preserve"> </w:t>
            </w:r>
            <w:r w:rsidRPr="00126A71">
              <w:t>this</w:t>
            </w:r>
            <w:r w:rsidRPr="00126A71">
              <w:rPr>
                <w:spacing w:val="2"/>
              </w:rPr>
              <w:t xml:space="preserve"> </w:t>
            </w:r>
            <w:r w:rsidRPr="00126A71">
              <w:t>Offering</w:t>
            </w:r>
          </w:p>
        </w:tc>
        <w:tc>
          <w:tcPr>
            <w:tcW w:w="1285" w:type="pct"/>
          </w:tcPr>
          <w:p w14:paraId="6C490622" w14:textId="01452961" w:rsidR="009B0B89" w:rsidRPr="00126A71" w:rsidRDefault="009B0B89" w:rsidP="0004018E">
            <w:pPr>
              <w:pStyle w:val="TableParagraph"/>
              <w:spacing w:before="0" w:line="229" w:lineRule="exact"/>
              <w:ind w:right="99"/>
              <w:jc w:val="right"/>
            </w:pPr>
            <w:r>
              <w:t>8,000,071</w:t>
            </w:r>
          </w:p>
        </w:tc>
        <w:tc>
          <w:tcPr>
            <w:tcW w:w="1285" w:type="pct"/>
          </w:tcPr>
          <w:p w14:paraId="68DC0231" w14:textId="3F541F30" w:rsidR="009B0B89" w:rsidRDefault="009B0B89" w:rsidP="0004018E">
            <w:pPr>
              <w:pStyle w:val="TableParagraph"/>
              <w:spacing w:before="0" w:line="229" w:lineRule="exact"/>
              <w:ind w:right="99"/>
              <w:jc w:val="right"/>
            </w:pPr>
            <w:r>
              <w:t>10,000,071</w:t>
            </w:r>
          </w:p>
        </w:tc>
      </w:tr>
      <w:tr w:rsidR="009B0B89" w:rsidRPr="00126A71" w14:paraId="5AC1C8E5" w14:textId="5B4D0CD5" w:rsidTr="009B0B89">
        <w:trPr>
          <w:trHeight w:val="386"/>
        </w:trPr>
        <w:tc>
          <w:tcPr>
            <w:tcW w:w="427" w:type="pct"/>
          </w:tcPr>
          <w:p w14:paraId="165CDDE1" w14:textId="77777777" w:rsidR="009B0B89" w:rsidRPr="00126A71" w:rsidRDefault="009B0B89" w:rsidP="0004018E">
            <w:pPr>
              <w:pStyle w:val="TableParagraph"/>
              <w:spacing w:before="62"/>
              <w:ind w:left="107"/>
            </w:pPr>
            <w:r w:rsidRPr="00126A71">
              <w:rPr>
                <w:w w:val="99"/>
              </w:rPr>
              <w:t>B</w:t>
            </w:r>
          </w:p>
        </w:tc>
        <w:tc>
          <w:tcPr>
            <w:tcW w:w="2003" w:type="pct"/>
          </w:tcPr>
          <w:p w14:paraId="03B8BA36" w14:textId="2BE3C605" w:rsidR="009B0B89" w:rsidRPr="00126A71" w:rsidRDefault="009B0B89" w:rsidP="0004018E">
            <w:pPr>
              <w:pStyle w:val="TableParagraph"/>
              <w:spacing w:before="62"/>
              <w:ind w:left="105"/>
              <w:rPr>
                <w:vertAlign w:val="superscript"/>
              </w:rPr>
            </w:pPr>
            <w:r w:rsidRPr="00126A71">
              <w:t>Selling</w:t>
            </w:r>
            <w:r w:rsidRPr="00126A71">
              <w:rPr>
                <w:spacing w:val="-3"/>
              </w:rPr>
              <w:t xml:space="preserve"> </w:t>
            </w:r>
            <w:r w:rsidRPr="00126A71">
              <w:t>commissions</w:t>
            </w:r>
            <w:r w:rsidRPr="00126A71">
              <w:rPr>
                <w:spacing w:val="-2"/>
              </w:rPr>
              <w:t xml:space="preserve"> </w:t>
            </w:r>
            <w:r w:rsidRPr="00126A71">
              <w:t>and</w:t>
            </w:r>
            <w:r w:rsidRPr="00126A71">
              <w:rPr>
                <w:spacing w:val="-3"/>
              </w:rPr>
              <w:t xml:space="preserve"> </w:t>
            </w:r>
            <w:r w:rsidRPr="00126A71">
              <w:t>fees</w:t>
            </w:r>
            <w:r w:rsidRPr="00126A71">
              <w:rPr>
                <w:vertAlign w:val="superscript"/>
              </w:rPr>
              <w:t>(</w:t>
            </w:r>
            <w:r w:rsidR="00855086">
              <w:rPr>
                <w:vertAlign w:val="superscript"/>
              </w:rPr>
              <w:t>2</w:t>
            </w:r>
            <w:r w:rsidRPr="00126A71">
              <w:rPr>
                <w:vertAlign w:val="superscript"/>
              </w:rPr>
              <w:t>)</w:t>
            </w:r>
          </w:p>
        </w:tc>
        <w:tc>
          <w:tcPr>
            <w:tcW w:w="1285" w:type="pct"/>
          </w:tcPr>
          <w:p w14:paraId="60CC694E" w14:textId="04148FC4" w:rsidR="009B0B89" w:rsidRPr="00126A71" w:rsidRDefault="009B0B89" w:rsidP="0004018E">
            <w:pPr>
              <w:pStyle w:val="TableParagraph"/>
              <w:spacing w:before="62"/>
              <w:ind w:right="99"/>
              <w:jc w:val="right"/>
            </w:pPr>
            <w:r>
              <w:t>(480,00</w:t>
            </w:r>
            <w:r w:rsidR="00855086">
              <w:t>0</w:t>
            </w:r>
            <w:r>
              <w:t>)</w:t>
            </w:r>
          </w:p>
        </w:tc>
        <w:tc>
          <w:tcPr>
            <w:tcW w:w="1285" w:type="pct"/>
          </w:tcPr>
          <w:p w14:paraId="35F22AF6" w14:textId="1D38C20A" w:rsidR="009B0B89" w:rsidRDefault="009B0B89" w:rsidP="0004018E">
            <w:pPr>
              <w:pStyle w:val="TableParagraph"/>
              <w:spacing w:before="62"/>
              <w:ind w:right="99"/>
              <w:jc w:val="right"/>
            </w:pPr>
            <w:r>
              <w:t>(600,00</w:t>
            </w:r>
            <w:r w:rsidR="00855086">
              <w:t>0</w:t>
            </w:r>
            <w:r>
              <w:t>)</w:t>
            </w:r>
          </w:p>
        </w:tc>
      </w:tr>
      <w:tr w:rsidR="009B0B89" w:rsidRPr="00126A71" w14:paraId="0A6952D8" w14:textId="2666E235" w:rsidTr="009B0B89">
        <w:trPr>
          <w:trHeight w:val="647"/>
        </w:trPr>
        <w:tc>
          <w:tcPr>
            <w:tcW w:w="427" w:type="pct"/>
          </w:tcPr>
          <w:p w14:paraId="5744DE1E" w14:textId="77777777" w:rsidR="009B0B89" w:rsidRPr="00126A71" w:rsidRDefault="009B0B89" w:rsidP="0004018E">
            <w:pPr>
              <w:pStyle w:val="TableParagraph"/>
              <w:ind w:left="107"/>
            </w:pPr>
            <w:r w:rsidRPr="00126A71">
              <w:rPr>
                <w:w w:val="99"/>
              </w:rPr>
              <w:t>C</w:t>
            </w:r>
          </w:p>
        </w:tc>
        <w:tc>
          <w:tcPr>
            <w:tcW w:w="2003" w:type="pct"/>
          </w:tcPr>
          <w:p w14:paraId="080A1871" w14:textId="77777777" w:rsidR="009B0B89" w:rsidRPr="00126A71" w:rsidRDefault="009B0B89" w:rsidP="0004018E">
            <w:pPr>
              <w:pStyle w:val="TableParagraph"/>
              <w:spacing w:line="276" w:lineRule="auto"/>
              <w:ind w:left="105" w:right="478"/>
            </w:pPr>
            <w:r w:rsidRPr="00126A71">
              <w:t>Estimated</w:t>
            </w:r>
            <w:r w:rsidRPr="00126A71">
              <w:rPr>
                <w:spacing w:val="-4"/>
              </w:rPr>
              <w:t xml:space="preserve"> </w:t>
            </w:r>
            <w:r w:rsidRPr="00126A71">
              <w:t>Offering</w:t>
            </w:r>
            <w:r w:rsidRPr="00126A71">
              <w:rPr>
                <w:spacing w:val="-3"/>
              </w:rPr>
              <w:t xml:space="preserve"> </w:t>
            </w:r>
            <w:r w:rsidRPr="00126A71">
              <w:t>costs</w:t>
            </w:r>
            <w:r w:rsidRPr="00126A71">
              <w:rPr>
                <w:spacing w:val="-3"/>
              </w:rPr>
              <w:t xml:space="preserve"> </w:t>
            </w:r>
            <w:r w:rsidRPr="00126A71">
              <w:t>(e.g.,</w:t>
            </w:r>
            <w:r w:rsidRPr="00126A71">
              <w:rPr>
                <w:spacing w:val="-3"/>
              </w:rPr>
              <w:t xml:space="preserve"> </w:t>
            </w:r>
            <w:r w:rsidRPr="00126A71">
              <w:t>legal,</w:t>
            </w:r>
            <w:r w:rsidRPr="00126A71">
              <w:rPr>
                <w:spacing w:val="-53"/>
              </w:rPr>
              <w:t xml:space="preserve">   </w:t>
            </w:r>
            <w:r w:rsidRPr="00126A71">
              <w:t>accounting, audit)</w:t>
            </w:r>
          </w:p>
        </w:tc>
        <w:tc>
          <w:tcPr>
            <w:tcW w:w="1285" w:type="pct"/>
          </w:tcPr>
          <w:p w14:paraId="06585DFA" w14:textId="7A238630" w:rsidR="009B0B89" w:rsidRPr="00126A71" w:rsidRDefault="009B0B89" w:rsidP="0004018E">
            <w:pPr>
              <w:pStyle w:val="TableParagraph"/>
              <w:spacing w:before="0" w:line="229" w:lineRule="exact"/>
              <w:ind w:right="99"/>
              <w:jc w:val="right"/>
            </w:pPr>
            <w:r>
              <w:t>(200,000)</w:t>
            </w:r>
          </w:p>
        </w:tc>
        <w:tc>
          <w:tcPr>
            <w:tcW w:w="1285" w:type="pct"/>
          </w:tcPr>
          <w:p w14:paraId="5400BFA1" w14:textId="4D7B6502" w:rsidR="009B0B89" w:rsidRDefault="009B0B89" w:rsidP="0004018E">
            <w:pPr>
              <w:pStyle w:val="TableParagraph"/>
              <w:spacing w:before="0" w:line="229" w:lineRule="exact"/>
              <w:ind w:right="99"/>
              <w:jc w:val="right"/>
            </w:pPr>
            <w:r>
              <w:t>(200,000)</w:t>
            </w:r>
          </w:p>
        </w:tc>
      </w:tr>
      <w:tr w:rsidR="009B0B89" w:rsidRPr="00126A71" w14:paraId="02705606" w14:textId="3BC45C0E" w:rsidTr="009B0B89">
        <w:trPr>
          <w:trHeight w:val="386"/>
        </w:trPr>
        <w:tc>
          <w:tcPr>
            <w:tcW w:w="427" w:type="pct"/>
          </w:tcPr>
          <w:p w14:paraId="059BE191" w14:textId="77777777" w:rsidR="009B0B89" w:rsidRPr="00126A71" w:rsidRDefault="009B0B89" w:rsidP="0004018E">
            <w:pPr>
              <w:pStyle w:val="TableParagraph"/>
              <w:spacing w:before="60"/>
              <w:ind w:left="107"/>
            </w:pPr>
            <w:r w:rsidRPr="00126A71">
              <w:rPr>
                <w:w w:val="99"/>
              </w:rPr>
              <w:t>D</w:t>
            </w:r>
          </w:p>
        </w:tc>
        <w:tc>
          <w:tcPr>
            <w:tcW w:w="2003" w:type="pct"/>
          </w:tcPr>
          <w:p w14:paraId="48293AE3" w14:textId="77777777" w:rsidR="009B0B89" w:rsidRPr="00126A71" w:rsidRDefault="009B0B89" w:rsidP="0004018E">
            <w:pPr>
              <w:pStyle w:val="TableParagraph"/>
              <w:spacing w:before="60"/>
              <w:ind w:left="105"/>
            </w:pPr>
            <w:r w:rsidRPr="00126A71">
              <w:t>Net</w:t>
            </w:r>
            <w:r w:rsidRPr="00126A71">
              <w:rPr>
                <w:spacing w:val="-3"/>
              </w:rPr>
              <w:t xml:space="preserve"> </w:t>
            </w:r>
            <w:r w:rsidRPr="00126A71">
              <w:t>proceeds</w:t>
            </w:r>
            <w:r w:rsidRPr="00126A71">
              <w:rPr>
                <w:spacing w:val="-1"/>
              </w:rPr>
              <w:t xml:space="preserve"> </w:t>
            </w:r>
            <w:r w:rsidRPr="00126A71">
              <w:t>of</w:t>
            </w:r>
            <w:r w:rsidRPr="00126A71">
              <w:rPr>
                <w:spacing w:val="-1"/>
              </w:rPr>
              <w:t xml:space="preserve"> </w:t>
            </w:r>
            <w:r w:rsidRPr="00126A71">
              <w:t>Offering:</w:t>
            </w:r>
            <w:r w:rsidRPr="00126A71">
              <w:rPr>
                <w:spacing w:val="-2"/>
              </w:rPr>
              <w:t xml:space="preserve"> </w:t>
            </w:r>
            <w:r w:rsidRPr="00126A71">
              <w:t>D =</w:t>
            </w:r>
            <w:r w:rsidRPr="00126A71">
              <w:rPr>
                <w:spacing w:val="-2"/>
              </w:rPr>
              <w:t xml:space="preserve"> </w:t>
            </w:r>
            <w:r w:rsidRPr="00126A71">
              <w:t>A –</w:t>
            </w:r>
            <w:r w:rsidRPr="00126A71">
              <w:rPr>
                <w:spacing w:val="-2"/>
              </w:rPr>
              <w:t xml:space="preserve"> </w:t>
            </w:r>
            <w:r w:rsidRPr="00126A71">
              <w:t>(B+C)</w:t>
            </w:r>
          </w:p>
        </w:tc>
        <w:tc>
          <w:tcPr>
            <w:tcW w:w="1285" w:type="pct"/>
          </w:tcPr>
          <w:p w14:paraId="70C4EDAE" w14:textId="58349E78" w:rsidR="009B0B89" w:rsidRPr="00126A71" w:rsidRDefault="009B0B89" w:rsidP="0004018E">
            <w:pPr>
              <w:pStyle w:val="TableParagraph"/>
              <w:spacing w:before="60"/>
              <w:ind w:right="99"/>
              <w:jc w:val="right"/>
            </w:pPr>
            <w:r>
              <w:t>7,320,0</w:t>
            </w:r>
            <w:r w:rsidR="00855086">
              <w:t>71</w:t>
            </w:r>
          </w:p>
        </w:tc>
        <w:tc>
          <w:tcPr>
            <w:tcW w:w="1285" w:type="pct"/>
          </w:tcPr>
          <w:p w14:paraId="770C5362" w14:textId="3A55BE00" w:rsidR="009B0B89" w:rsidRDefault="009B0B89" w:rsidP="0004018E">
            <w:pPr>
              <w:pStyle w:val="TableParagraph"/>
              <w:spacing w:before="60"/>
              <w:ind w:right="99"/>
              <w:jc w:val="right"/>
            </w:pPr>
            <w:r>
              <w:t>9,200,0</w:t>
            </w:r>
            <w:r w:rsidR="00855086">
              <w:t>71</w:t>
            </w:r>
          </w:p>
        </w:tc>
      </w:tr>
      <w:tr w:rsidR="009B0B89" w:rsidRPr="00126A71" w14:paraId="48F570B5" w14:textId="2EE7CFB0" w:rsidTr="009B0B89">
        <w:trPr>
          <w:trHeight w:val="404"/>
        </w:trPr>
        <w:tc>
          <w:tcPr>
            <w:tcW w:w="427" w:type="pct"/>
          </w:tcPr>
          <w:p w14:paraId="2AA0C5E6" w14:textId="77777777" w:rsidR="009B0B89" w:rsidRPr="00126A71" w:rsidRDefault="009B0B89" w:rsidP="0004018E">
            <w:pPr>
              <w:pStyle w:val="TableParagraph"/>
              <w:ind w:left="107"/>
            </w:pPr>
            <w:r w:rsidRPr="00126A71">
              <w:rPr>
                <w:w w:val="99"/>
              </w:rPr>
              <w:t>E</w:t>
            </w:r>
          </w:p>
        </w:tc>
        <w:tc>
          <w:tcPr>
            <w:tcW w:w="2003" w:type="pct"/>
          </w:tcPr>
          <w:p w14:paraId="74D4D85A" w14:textId="6460BFF7" w:rsidR="009B0B89" w:rsidRPr="00444EB9" w:rsidRDefault="009B0B89" w:rsidP="0004018E">
            <w:pPr>
              <w:pStyle w:val="TableParagraph"/>
              <w:spacing w:line="276" w:lineRule="auto"/>
              <w:ind w:left="105" w:right="702"/>
              <w:rPr>
                <w:highlight w:val="cyan"/>
              </w:rPr>
            </w:pPr>
            <w:r w:rsidRPr="007827D1">
              <w:t>Working</w:t>
            </w:r>
            <w:r w:rsidRPr="007827D1">
              <w:rPr>
                <w:spacing w:val="-4"/>
              </w:rPr>
              <w:t xml:space="preserve"> </w:t>
            </w:r>
            <w:r w:rsidRPr="007827D1">
              <w:t>capital</w:t>
            </w:r>
            <w:r w:rsidRPr="007827D1">
              <w:rPr>
                <w:spacing w:val="-4"/>
              </w:rPr>
              <w:t xml:space="preserve"> </w:t>
            </w:r>
            <w:r w:rsidRPr="007827D1">
              <w:t>as</w:t>
            </w:r>
            <w:r w:rsidRPr="007827D1">
              <w:rPr>
                <w:spacing w:val="-2"/>
              </w:rPr>
              <w:t xml:space="preserve"> </w:t>
            </w:r>
            <w:r w:rsidRPr="007827D1">
              <w:t>at</w:t>
            </w:r>
            <w:r w:rsidRPr="007827D1">
              <w:rPr>
                <w:spacing w:val="-3"/>
              </w:rPr>
              <w:t xml:space="preserve"> </w:t>
            </w:r>
            <w:r w:rsidRPr="007827D1">
              <w:t>most recent month</w:t>
            </w:r>
            <w:r w:rsidRPr="007827D1">
              <w:rPr>
                <w:spacing w:val="-2"/>
              </w:rPr>
              <w:t xml:space="preserve"> </w:t>
            </w:r>
            <w:r w:rsidRPr="007827D1">
              <w:t>end</w:t>
            </w:r>
          </w:p>
        </w:tc>
        <w:tc>
          <w:tcPr>
            <w:tcW w:w="1285" w:type="pct"/>
          </w:tcPr>
          <w:p w14:paraId="247CF6B3" w14:textId="39E63378" w:rsidR="009B0B89" w:rsidRPr="00444EB9" w:rsidRDefault="007A5160" w:rsidP="0004018E">
            <w:pPr>
              <w:pStyle w:val="TableParagraph"/>
              <w:spacing w:before="0" w:line="229" w:lineRule="exact"/>
              <w:ind w:right="99"/>
              <w:jc w:val="right"/>
              <w:rPr>
                <w:highlight w:val="cyan"/>
              </w:rPr>
            </w:pPr>
            <w:r w:rsidRPr="007A5160">
              <w:t>1,100,000</w:t>
            </w:r>
          </w:p>
        </w:tc>
        <w:tc>
          <w:tcPr>
            <w:tcW w:w="1285" w:type="pct"/>
          </w:tcPr>
          <w:p w14:paraId="0E175ACC" w14:textId="4A9AFF14" w:rsidR="009B0B89" w:rsidRDefault="007A5160" w:rsidP="0004018E">
            <w:pPr>
              <w:pStyle w:val="TableParagraph"/>
              <w:spacing w:before="0" w:line="229" w:lineRule="exact"/>
              <w:ind w:right="99"/>
              <w:jc w:val="right"/>
              <w:rPr>
                <w:highlight w:val="cyan"/>
              </w:rPr>
            </w:pPr>
            <w:r>
              <w:rPr>
                <w:color w:val="000000" w:themeColor="text1"/>
                <w:szCs w:val="20"/>
              </w:rPr>
              <w:t>1,100,000</w:t>
            </w:r>
          </w:p>
        </w:tc>
      </w:tr>
      <w:tr w:rsidR="009B0B89" w:rsidRPr="00126A71" w14:paraId="35531474" w14:textId="3102FF01" w:rsidTr="009B0B89">
        <w:trPr>
          <w:trHeight w:val="386"/>
        </w:trPr>
        <w:tc>
          <w:tcPr>
            <w:tcW w:w="427" w:type="pct"/>
          </w:tcPr>
          <w:p w14:paraId="0AF1A2DA" w14:textId="77777777" w:rsidR="009B0B89" w:rsidRPr="00126A71" w:rsidRDefault="009B0B89" w:rsidP="0004018E">
            <w:pPr>
              <w:pStyle w:val="TableParagraph"/>
              <w:ind w:left="107"/>
            </w:pPr>
            <w:r w:rsidRPr="00126A71">
              <w:rPr>
                <w:w w:val="99"/>
              </w:rPr>
              <w:t>F</w:t>
            </w:r>
          </w:p>
        </w:tc>
        <w:tc>
          <w:tcPr>
            <w:tcW w:w="2003" w:type="pct"/>
          </w:tcPr>
          <w:p w14:paraId="73014987" w14:textId="77777777" w:rsidR="009B0B89" w:rsidRPr="00126A71" w:rsidRDefault="009B0B89" w:rsidP="0004018E">
            <w:pPr>
              <w:pStyle w:val="TableParagraph"/>
              <w:ind w:left="105"/>
            </w:pPr>
            <w:r w:rsidRPr="00126A71">
              <w:t>Additional</w:t>
            </w:r>
            <w:r w:rsidRPr="00126A71">
              <w:rPr>
                <w:spacing w:val="-3"/>
              </w:rPr>
              <w:t xml:space="preserve"> </w:t>
            </w:r>
            <w:r w:rsidRPr="00126A71">
              <w:t>sources</w:t>
            </w:r>
            <w:r w:rsidRPr="00126A71">
              <w:rPr>
                <w:spacing w:val="-1"/>
              </w:rPr>
              <w:t xml:space="preserve"> </w:t>
            </w:r>
            <w:r w:rsidRPr="00126A71">
              <w:t>of</w:t>
            </w:r>
            <w:r w:rsidRPr="00126A71">
              <w:rPr>
                <w:spacing w:val="-2"/>
              </w:rPr>
              <w:t xml:space="preserve"> </w:t>
            </w:r>
            <w:r w:rsidRPr="00126A71">
              <w:t>funding</w:t>
            </w:r>
          </w:p>
        </w:tc>
        <w:tc>
          <w:tcPr>
            <w:tcW w:w="1285" w:type="pct"/>
          </w:tcPr>
          <w:p w14:paraId="136EB310" w14:textId="01E864AC" w:rsidR="009B0B89" w:rsidRPr="00126A71" w:rsidRDefault="009B0B89" w:rsidP="0004018E">
            <w:pPr>
              <w:pStyle w:val="TableParagraph"/>
              <w:ind w:right="99"/>
              <w:jc w:val="right"/>
            </w:pPr>
            <w:r>
              <w:t>-</w:t>
            </w:r>
          </w:p>
        </w:tc>
        <w:tc>
          <w:tcPr>
            <w:tcW w:w="1285" w:type="pct"/>
          </w:tcPr>
          <w:p w14:paraId="5AFD9A5C" w14:textId="56A89D95" w:rsidR="009B0B89" w:rsidRDefault="00E04444" w:rsidP="0004018E">
            <w:pPr>
              <w:pStyle w:val="TableParagraph"/>
              <w:ind w:right="99"/>
              <w:jc w:val="right"/>
            </w:pPr>
            <w:r>
              <w:t>-</w:t>
            </w:r>
          </w:p>
        </w:tc>
      </w:tr>
      <w:tr w:rsidR="009B0B89" w:rsidRPr="00126A71" w14:paraId="36274143" w14:textId="4E17A2D3" w:rsidTr="009B0B89">
        <w:trPr>
          <w:trHeight w:val="383"/>
        </w:trPr>
        <w:tc>
          <w:tcPr>
            <w:tcW w:w="427" w:type="pct"/>
          </w:tcPr>
          <w:p w14:paraId="4F447B09" w14:textId="77777777" w:rsidR="009B0B89" w:rsidRPr="00126A71" w:rsidRDefault="009B0B89" w:rsidP="0004018E">
            <w:pPr>
              <w:pStyle w:val="TableParagraph"/>
              <w:ind w:left="107"/>
              <w:rPr>
                <w:b/>
              </w:rPr>
            </w:pPr>
            <w:r w:rsidRPr="00126A71">
              <w:rPr>
                <w:b/>
                <w:w w:val="99"/>
              </w:rPr>
              <w:t>G</w:t>
            </w:r>
          </w:p>
        </w:tc>
        <w:tc>
          <w:tcPr>
            <w:tcW w:w="2003" w:type="pct"/>
          </w:tcPr>
          <w:p w14:paraId="1130DA65" w14:textId="77777777" w:rsidR="009B0B89" w:rsidRPr="00126A71" w:rsidRDefault="009B0B89" w:rsidP="0004018E">
            <w:pPr>
              <w:pStyle w:val="TableParagraph"/>
              <w:ind w:left="105"/>
              <w:rPr>
                <w:b/>
              </w:rPr>
            </w:pPr>
            <w:r w:rsidRPr="00126A71">
              <w:rPr>
                <w:b/>
              </w:rPr>
              <w:t>Total</w:t>
            </w:r>
            <w:r w:rsidRPr="00126A71">
              <w:rPr>
                <w:b/>
                <w:spacing w:val="-3"/>
              </w:rPr>
              <w:t xml:space="preserve"> </w:t>
            </w:r>
            <w:r w:rsidRPr="00126A71">
              <w:rPr>
                <w:b/>
              </w:rPr>
              <w:t>available</w:t>
            </w:r>
            <w:r w:rsidRPr="00126A71">
              <w:rPr>
                <w:b/>
                <w:spacing w:val="-3"/>
              </w:rPr>
              <w:t xml:space="preserve"> </w:t>
            </w:r>
            <w:r w:rsidRPr="00126A71">
              <w:rPr>
                <w:b/>
              </w:rPr>
              <w:t>funds:</w:t>
            </w:r>
            <w:r w:rsidRPr="00126A71">
              <w:rPr>
                <w:b/>
                <w:spacing w:val="-2"/>
              </w:rPr>
              <w:t xml:space="preserve"> </w:t>
            </w:r>
            <w:r w:rsidRPr="00126A71">
              <w:rPr>
                <w:b/>
              </w:rPr>
              <w:t>G</w:t>
            </w:r>
            <w:r w:rsidRPr="00126A71">
              <w:rPr>
                <w:b/>
                <w:spacing w:val="-1"/>
              </w:rPr>
              <w:t xml:space="preserve"> </w:t>
            </w:r>
            <w:r w:rsidRPr="00126A71">
              <w:rPr>
                <w:b/>
              </w:rPr>
              <w:t>=</w:t>
            </w:r>
            <w:r w:rsidRPr="00126A71">
              <w:rPr>
                <w:b/>
                <w:spacing w:val="1"/>
              </w:rPr>
              <w:t xml:space="preserve"> </w:t>
            </w:r>
            <w:r w:rsidRPr="00126A71">
              <w:rPr>
                <w:b/>
              </w:rPr>
              <w:t>D+E+F</w:t>
            </w:r>
          </w:p>
        </w:tc>
        <w:tc>
          <w:tcPr>
            <w:tcW w:w="1285" w:type="pct"/>
          </w:tcPr>
          <w:p w14:paraId="1A370B2B" w14:textId="1B2A390E" w:rsidR="009B0B89" w:rsidRPr="00855086" w:rsidRDefault="007A5160" w:rsidP="0004018E">
            <w:pPr>
              <w:pStyle w:val="TableParagraph"/>
              <w:ind w:right="100"/>
              <w:jc w:val="right"/>
              <w:rPr>
                <w:b/>
                <w:bCs/>
              </w:rPr>
            </w:pPr>
            <w:r>
              <w:rPr>
                <w:b/>
                <w:bCs/>
              </w:rPr>
              <w:t>8,420,071</w:t>
            </w:r>
          </w:p>
        </w:tc>
        <w:tc>
          <w:tcPr>
            <w:tcW w:w="1285" w:type="pct"/>
          </w:tcPr>
          <w:p w14:paraId="7BCE459A" w14:textId="3E473552" w:rsidR="009B0B89" w:rsidRPr="00855086" w:rsidRDefault="007A5160" w:rsidP="0004018E">
            <w:pPr>
              <w:pStyle w:val="TableParagraph"/>
              <w:ind w:right="100"/>
              <w:jc w:val="right"/>
              <w:rPr>
                <w:b/>
                <w:bCs/>
              </w:rPr>
            </w:pPr>
            <w:r>
              <w:rPr>
                <w:b/>
                <w:bCs/>
              </w:rPr>
              <w:t>10,300,071</w:t>
            </w:r>
          </w:p>
        </w:tc>
      </w:tr>
    </w:tbl>
    <w:p w14:paraId="2358C532" w14:textId="5DB0D65B" w:rsidR="00855086" w:rsidRDefault="00855086" w:rsidP="00855086">
      <w:pPr>
        <w:pStyle w:val="BodyText"/>
        <w:numPr>
          <w:ilvl w:val="0"/>
          <w:numId w:val="15"/>
        </w:numPr>
        <w:spacing w:after="0"/>
        <w:jc w:val="both"/>
      </w:pPr>
      <w:bookmarkStart w:id="3" w:name="_Hlk136518565"/>
      <w:r>
        <w:t>Certain amounts have been rounded for ease of presentation.</w:t>
      </w:r>
    </w:p>
    <w:p w14:paraId="578CED90" w14:textId="7E2317E6" w:rsidR="00CE5440" w:rsidRDefault="007966A3" w:rsidP="007827D1">
      <w:pPr>
        <w:pStyle w:val="BodyText"/>
        <w:numPr>
          <w:ilvl w:val="0"/>
          <w:numId w:val="15"/>
        </w:numPr>
        <w:jc w:val="both"/>
      </w:pPr>
      <w:r w:rsidRPr="00126A71">
        <w:t>Underwriter</w:t>
      </w:r>
      <w:r w:rsidR="00880995">
        <w:t>s</w:t>
      </w:r>
      <w:r w:rsidR="003A2B1B">
        <w:t>’</w:t>
      </w:r>
      <w:r w:rsidR="0032441D" w:rsidRPr="00126A71">
        <w:t xml:space="preserve"> </w:t>
      </w:r>
      <w:r w:rsidR="00F14234">
        <w:t>Fee</w:t>
      </w:r>
      <w:r w:rsidRPr="00126A71">
        <w:t xml:space="preserve"> (as defined </w:t>
      </w:r>
      <w:r w:rsidR="00F10A44">
        <w:t>below</w:t>
      </w:r>
      <w:r w:rsidRPr="00126A71">
        <w:t xml:space="preserve">) of </w:t>
      </w:r>
      <w:r w:rsidR="009C20E7">
        <w:t>6</w:t>
      </w:r>
      <w:r w:rsidR="00420310">
        <w:t>.0</w:t>
      </w:r>
      <w:r w:rsidRPr="00126A71">
        <w:t>%</w:t>
      </w:r>
      <w:r w:rsidR="002649F0" w:rsidRPr="00126A71">
        <w:t xml:space="preserve"> of</w:t>
      </w:r>
      <w:r w:rsidR="002649F0" w:rsidRPr="00126A71">
        <w:rPr>
          <w:spacing w:val="-2"/>
        </w:rPr>
        <w:t xml:space="preserve"> </w:t>
      </w:r>
      <w:r w:rsidR="002649F0" w:rsidRPr="00126A71">
        <w:t>the</w:t>
      </w:r>
      <w:r w:rsidR="002649F0" w:rsidRPr="00126A71">
        <w:rPr>
          <w:spacing w:val="-2"/>
        </w:rPr>
        <w:t xml:space="preserve"> </w:t>
      </w:r>
      <w:r w:rsidR="002649F0" w:rsidRPr="00126A71">
        <w:t>gross</w:t>
      </w:r>
      <w:r w:rsidR="002649F0" w:rsidRPr="00126A71">
        <w:rPr>
          <w:spacing w:val="-2"/>
        </w:rPr>
        <w:t xml:space="preserve"> </w:t>
      </w:r>
      <w:r w:rsidR="002649F0" w:rsidRPr="00126A71">
        <w:t>proceeds</w:t>
      </w:r>
      <w:r w:rsidR="002649F0" w:rsidRPr="00126A71">
        <w:rPr>
          <w:spacing w:val="-1"/>
        </w:rPr>
        <w:t xml:space="preserve"> </w:t>
      </w:r>
      <w:r w:rsidR="002649F0" w:rsidRPr="00126A71">
        <w:t>of</w:t>
      </w:r>
      <w:r w:rsidR="002649F0" w:rsidRPr="00126A71">
        <w:rPr>
          <w:spacing w:val="-2"/>
        </w:rPr>
        <w:t xml:space="preserve"> </w:t>
      </w:r>
      <w:r w:rsidR="002649F0" w:rsidRPr="00126A71">
        <w:t>the</w:t>
      </w:r>
      <w:r w:rsidR="002649F0" w:rsidRPr="00126A71">
        <w:rPr>
          <w:spacing w:val="2"/>
        </w:rPr>
        <w:t xml:space="preserve"> </w:t>
      </w:r>
      <w:r w:rsidR="002649F0" w:rsidRPr="00126A71">
        <w:t>Offering</w:t>
      </w:r>
      <w:r w:rsidR="005B18F5">
        <w:t>. See “</w:t>
      </w:r>
      <w:r w:rsidR="005B18F5">
        <w:rPr>
          <w:i/>
          <w:iCs/>
        </w:rPr>
        <w:t>Fees and Commissions</w:t>
      </w:r>
      <w:r w:rsidR="005B18F5">
        <w:t>” below for additional information</w:t>
      </w:r>
      <w:r w:rsidRPr="00126A71">
        <w:t>.</w:t>
      </w:r>
    </w:p>
    <w:p w14:paraId="2A495BD1" w14:textId="522F904F" w:rsidR="005B18F5" w:rsidRPr="0004018E" w:rsidRDefault="007966A3" w:rsidP="0004018E">
      <w:pPr>
        <w:pStyle w:val="Heading1"/>
        <w:keepNext/>
        <w:spacing w:before="87"/>
        <w:ind w:left="0"/>
      </w:pPr>
      <w:r w:rsidRPr="00126A71">
        <w:t>How</w:t>
      </w:r>
      <w:r w:rsidRPr="00126A71">
        <w:rPr>
          <w:spacing w:val="-2"/>
        </w:rPr>
        <w:t xml:space="preserve"> </w:t>
      </w:r>
      <w:r w:rsidRPr="00126A71">
        <w:t>will</w:t>
      </w:r>
      <w:r w:rsidRPr="00126A71">
        <w:rPr>
          <w:spacing w:val="-2"/>
        </w:rPr>
        <w:t xml:space="preserve"> </w:t>
      </w:r>
      <w:r w:rsidRPr="00126A71">
        <w:t>we</w:t>
      </w:r>
      <w:r w:rsidRPr="00126A71">
        <w:rPr>
          <w:spacing w:val="-3"/>
        </w:rPr>
        <w:t xml:space="preserve"> </w:t>
      </w:r>
      <w:r w:rsidRPr="00126A71">
        <w:t>use the</w:t>
      </w:r>
      <w:r w:rsidRPr="00126A71">
        <w:rPr>
          <w:spacing w:val="-3"/>
        </w:rPr>
        <w:t xml:space="preserve"> </w:t>
      </w:r>
      <w:r w:rsidRPr="00126A71">
        <w:t>available</w:t>
      </w:r>
      <w:r w:rsidRPr="00126A71">
        <w:rPr>
          <w:spacing w:val="-2"/>
        </w:rPr>
        <w:t xml:space="preserve"> </w:t>
      </w:r>
      <w:r w:rsidRPr="00126A71">
        <w:t>funds?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0"/>
        <w:gridCol w:w="2520"/>
        <w:gridCol w:w="2520"/>
      </w:tblGrid>
      <w:tr w:rsidR="005A3839" w:rsidRPr="00126A71" w14:paraId="410C3742" w14:textId="002BB9FD" w:rsidTr="00C26937">
        <w:trPr>
          <w:trHeight w:val="650"/>
          <w:tblHeader/>
        </w:trPr>
        <w:tc>
          <w:tcPr>
            <w:tcW w:w="2415" w:type="pct"/>
            <w:shd w:val="clear" w:color="auto" w:fill="D9D9D9"/>
          </w:tcPr>
          <w:p w14:paraId="34021762" w14:textId="77777777" w:rsidR="005A3839" w:rsidRPr="00126A71" w:rsidRDefault="005A3839" w:rsidP="00126A71">
            <w:pPr>
              <w:pStyle w:val="TableParagraph"/>
              <w:keepNext/>
              <w:spacing w:line="278" w:lineRule="auto"/>
              <w:ind w:left="107" w:right="351"/>
              <w:rPr>
                <w:b/>
              </w:rPr>
            </w:pPr>
            <w:r w:rsidRPr="00126A71">
              <w:rPr>
                <w:b/>
              </w:rPr>
              <w:t>Description</w:t>
            </w:r>
            <w:r w:rsidRPr="00126A71">
              <w:rPr>
                <w:b/>
                <w:spacing w:val="-2"/>
              </w:rPr>
              <w:t xml:space="preserve"> </w:t>
            </w:r>
            <w:r w:rsidRPr="00126A71">
              <w:rPr>
                <w:b/>
              </w:rPr>
              <w:t>of</w:t>
            </w:r>
            <w:r w:rsidRPr="00126A71">
              <w:rPr>
                <w:b/>
                <w:spacing w:val="-1"/>
              </w:rPr>
              <w:t xml:space="preserve"> </w:t>
            </w:r>
            <w:r w:rsidRPr="00126A71">
              <w:rPr>
                <w:b/>
              </w:rPr>
              <w:t>intended</w:t>
            </w:r>
            <w:r w:rsidRPr="00126A71">
              <w:rPr>
                <w:b/>
                <w:spacing w:val="-2"/>
              </w:rPr>
              <w:t xml:space="preserve"> </w:t>
            </w:r>
            <w:r w:rsidRPr="00126A71">
              <w:rPr>
                <w:b/>
              </w:rPr>
              <w:t>use</w:t>
            </w:r>
            <w:r w:rsidRPr="00126A71">
              <w:rPr>
                <w:b/>
                <w:spacing w:val="-3"/>
              </w:rPr>
              <w:t xml:space="preserve"> </w:t>
            </w:r>
            <w:r w:rsidRPr="00126A71">
              <w:rPr>
                <w:b/>
              </w:rPr>
              <w:t>of</w:t>
            </w:r>
            <w:r w:rsidRPr="00126A71">
              <w:rPr>
                <w:b/>
                <w:spacing w:val="-1"/>
              </w:rPr>
              <w:t xml:space="preserve"> </w:t>
            </w:r>
            <w:r w:rsidRPr="00126A71">
              <w:rPr>
                <w:b/>
              </w:rPr>
              <w:t>available</w:t>
            </w:r>
            <w:r w:rsidRPr="00126A71">
              <w:rPr>
                <w:b/>
                <w:spacing w:val="-2"/>
              </w:rPr>
              <w:t xml:space="preserve"> </w:t>
            </w:r>
            <w:r w:rsidRPr="00126A71">
              <w:rPr>
                <w:b/>
              </w:rPr>
              <w:t>funds listed</w:t>
            </w:r>
            <w:r w:rsidRPr="00126A71">
              <w:rPr>
                <w:b/>
                <w:spacing w:val="-2"/>
              </w:rPr>
              <w:t xml:space="preserve"> </w:t>
            </w:r>
            <w:r w:rsidRPr="00126A71">
              <w:rPr>
                <w:b/>
              </w:rPr>
              <w:t>in order</w:t>
            </w:r>
            <w:r w:rsidRPr="00126A71">
              <w:rPr>
                <w:b/>
                <w:spacing w:val="-2"/>
              </w:rPr>
              <w:t xml:space="preserve"> </w:t>
            </w:r>
            <w:r w:rsidRPr="00126A71">
              <w:rPr>
                <w:b/>
              </w:rPr>
              <w:t>of</w:t>
            </w:r>
            <w:r w:rsidRPr="00126A71">
              <w:rPr>
                <w:b/>
                <w:spacing w:val="1"/>
              </w:rPr>
              <w:t xml:space="preserve"> </w:t>
            </w:r>
            <w:r w:rsidRPr="00126A71">
              <w:rPr>
                <w:b/>
              </w:rPr>
              <w:t>priority</w:t>
            </w:r>
          </w:p>
        </w:tc>
        <w:tc>
          <w:tcPr>
            <w:tcW w:w="1292" w:type="pct"/>
            <w:shd w:val="clear" w:color="auto" w:fill="D9D9D9"/>
          </w:tcPr>
          <w:p w14:paraId="4F47CCB0" w14:textId="3BD09FC3" w:rsidR="005A3839" w:rsidRPr="00126A71" w:rsidRDefault="005A3839" w:rsidP="00126A71">
            <w:pPr>
              <w:pStyle w:val="TableParagraph"/>
              <w:keepNext/>
              <w:spacing w:line="278" w:lineRule="auto"/>
              <w:ind w:left="234" w:right="226"/>
              <w:jc w:val="center"/>
              <w:rPr>
                <w:b/>
                <w:spacing w:val="-1"/>
              </w:rPr>
            </w:pPr>
            <w:r w:rsidRPr="00126A71">
              <w:rPr>
                <w:b/>
                <w:bCs/>
              </w:rPr>
              <w:t>Assuming 100% of the Offering</w:t>
            </w:r>
          </w:p>
        </w:tc>
        <w:tc>
          <w:tcPr>
            <w:tcW w:w="1292" w:type="pct"/>
            <w:shd w:val="clear" w:color="auto" w:fill="D9D9D9"/>
          </w:tcPr>
          <w:p w14:paraId="288ADC0E" w14:textId="373A2086" w:rsidR="005A3839" w:rsidRPr="00126A71" w:rsidRDefault="005A3839" w:rsidP="00126A71">
            <w:pPr>
              <w:pStyle w:val="TableParagraph"/>
              <w:keepNext/>
              <w:spacing w:line="278" w:lineRule="auto"/>
              <w:ind w:left="234" w:right="226"/>
              <w:jc w:val="center"/>
              <w:rPr>
                <w:b/>
                <w:bCs/>
              </w:rPr>
            </w:pPr>
            <w:r>
              <w:rPr>
                <w:b/>
                <w:bCs/>
              </w:rPr>
              <w:t xml:space="preserve">Assuming 100% of the Offering and full exercise of the Option </w:t>
            </w:r>
          </w:p>
        </w:tc>
      </w:tr>
      <w:tr w:rsidR="005A3839" w:rsidRPr="00126A71" w14:paraId="25773665" w14:textId="7228C0F4" w:rsidTr="005A3839">
        <w:trPr>
          <w:trHeight w:val="647"/>
        </w:trPr>
        <w:tc>
          <w:tcPr>
            <w:tcW w:w="2415" w:type="pct"/>
          </w:tcPr>
          <w:p w14:paraId="0CB0A989" w14:textId="0F8F26DD" w:rsidR="005A3839" w:rsidRPr="00126A71" w:rsidRDefault="005A3839" w:rsidP="00691708">
            <w:pPr>
              <w:pStyle w:val="TableParagraph"/>
              <w:keepNext/>
              <w:spacing w:after="59" w:line="276" w:lineRule="auto"/>
              <w:ind w:left="101" w:right="130"/>
              <w:jc w:val="both"/>
            </w:pPr>
            <w:r>
              <w:t>Goldfields Exploration and Development</w:t>
            </w:r>
          </w:p>
        </w:tc>
        <w:tc>
          <w:tcPr>
            <w:tcW w:w="1292" w:type="pct"/>
          </w:tcPr>
          <w:p w14:paraId="706495FA" w14:textId="41B36E78" w:rsidR="005A3839" w:rsidRPr="007A5160" w:rsidRDefault="007A5160" w:rsidP="00691708">
            <w:pPr>
              <w:pStyle w:val="TableParagraph"/>
              <w:keepNext/>
              <w:ind w:right="102"/>
              <w:jc w:val="right"/>
            </w:pPr>
            <w:r w:rsidRPr="007A5160">
              <w:t>$6,120,071</w:t>
            </w:r>
          </w:p>
        </w:tc>
        <w:tc>
          <w:tcPr>
            <w:tcW w:w="1292" w:type="pct"/>
          </w:tcPr>
          <w:p w14:paraId="207F3DE3" w14:textId="1C5376CF" w:rsidR="005A3839" w:rsidRPr="000412E9" w:rsidRDefault="008E764B" w:rsidP="00691708">
            <w:pPr>
              <w:pStyle w:val="TableParagraph"/>
              <w:keepNext/>
              <w:ind w:right="102"/>
              <w:jc w:val="right"/>
            </w:pPr>
            <w:r w:rsidRPr="000412E9">
              <w:t>$</w:t>
            </w:r>
            <w:r w:rsidR="000412E9">
              <w:t>8,000,071</w:t>
            </w:r>
          </w:p>
        </w:tc>
      </w:tr>
      <w:tr w:rsidR="008E764B" w:rsidRPr="00126A71" w14:paraId="69B02DA7" w14:textId="4C760102" w:rsidTr="005A3839">
        <w:trPr>
          <w:trHeight w:val="647"/>
        </w:trPr>
        <w:tc>
          <w:tcPr>
            <w:tcW w:w="2415" w:type="pct"/>
          </w:tcPr>
          <w:p w14:paraId="621117BF" w14:textId="01D2A1DD" w:rsidR="008E764B" w:rsidRPr="00126A71" w:rsidRDefault="008E764B" w:rsidP="008E764B">
            <w:pPr>
              <w:pStyle w:val="TableParagraph"/>
              <w:keepNext/>
              <w:spacing w:after="59" w:line="276" w:lineRule="auto"/>
              <w:ind w:left="101" w:right="130"/>
              <w:jc w:val="both"/>
            </w:pPr>
            <w:r>
              <w:t>Poma Rosa Exploration, subject to community agreements and government permits</w:t>
            </w:r>
          </w:p>
        </w:tc>
        <w:tc>
          <w:tcPr>
            <w:tcW w:w="1292" w:type="pct"/>
          </w:tcPr>
          <w:p w14:paraId="44C8E2C3" w14:textId="362C285C" w:rsidR="008E764B" w:rsidRPr="007A5160" w:rsidRDefault="008E764B" w:rsidP="008E764B">
            <w:pPr>
              <w:pStyle w:val="TableParagraph"/>
              <w:keepNext/>
              <w:ind w:right="102"/>
              <w:jc w:val="right"/>
            </w:pPr>
            <w:r w:rsidRPr="007A5160">
              <w:t>$1,</w:t>
            </w:r>
            <w:r w:rsidR="007A5160">
              <w:t>0</w:t>
            </w:r>
            <w:r w:rsidRPr="007A5160">
              <w:t>00,000</w:t>
            </w:r>
          </w:p>
        </w:tc>
        <w:tc>
          <w:tcPr>
            <w:tcW w:w="1292" w:type="pct"/>
          </w:tcPr>
          <w:p w14:paraId="661197DF" w14:textId="3BF53196" w:rsidR="008E764B" w:rsidRPr="000412E9" w:rsidRDefault="008E764B" w:rsidP="008E764B">
            <w:pPr>
              <w:pStyle w:val="TableParagraph"/>
              <w:keepNext/>
              <w:ind w:right="102"/>
              <w:jc w:val="right"/>
            </w:pPr>
            <w:r w:rsidRPr="000412E9">
              <w:t>$1,</w:t>
            </w:r>
            <w:r w:rsidR="007A5160" w:rsidRPr="000412E9">
              <w:t>0</w:t>
            </w:r>
            <w:r w:rsidRPr="000412E9">
              <w:t>00,000</w:t>
            </w:r>
          </w:p>
        </w:tc>
      </w:tr>
      <w:tr w:rsidR="005A3839" w:rsidRPr="00126A71" w14:paraId="051AE09C" w14:textId="4BFC204D" w:rsidTr="005A3839">
        <w:trPr>
          <w:trHeight w:val="647"/>
        </w:trPr>
        <w:tc>
          <w:tcPr>
            <w:tcW w:w="2415" w:type="pct"/>
          </w:tcPr>
          <w:p w14:paraId="696E88EC" w14:textId="774EE4D2" w:rsidR="005A3839" w:rsidRPr="00126A71" w:rsidRDefault="005A3839" w:rsidP="006430B5">
            <w:pPr>
              <w:pStyle w:val="TableParagraph"/>
              <w:spacing w:after="59" w:line="276" w:lineRule="auto"/>
              <w:ind w:left="101" w:right="130"/>
              <w:jc w:val="both"/>
            </w:pPr>
            <w:r w:rsidRPr="00126A71">
              <w:t>General and administrative</w:t>
            </w:r>
            <w:r>
              <w:t xml:space="preserve"> expenses for the 12-month period following completion of the Offering</w:t>
            </w:r>
          </w:p>
        </w:tc>
        <w:tc>
          <w:tcPr>
            <w:tcW w:w="1292" w:type="pct"/>
          </w:tcPr>
          <w:p w14:paraId="5087A378" w14:textId="7D8EC09B" w:rsidR="005A3839" w:rsidRPr="007A5160" w:rsidRDefault="005A3839" w:rsidP="006430B5">
            <w:pPr>
              <w:pStyle w:val="TableParagraph"/>
              <w:ind w:right="102"/>
              <w:jc w:val="right"/>
              <w:rPr>
                <w:vertAlign w:val="superscript"/>
              </w:rPr>
            </w:pPr>
            <w:r w:rsidRPr="007A5160">
              <w:t>$1,000,000</w:t>
            </w:r>
            <w:r w:rsidRPr="007A5160">
              <w:rPr>
                <w:vertAlign w:val="superscript"/>
              </w:rPr>
              <w:t xml:space="preserve"> (1)</w:t>
            </w:r>
          </w:p>
        </w:tc>
        <w:tc>
          <w:tcPr>
            <w:tcW w:w="1292" w:type="pct"/>
          </w:tcPr>
          <w:p w14:paraId="226FFF18" w14:textId="5221F151" w:rsidR="005A3839" w:rsidRPr="007A5160" w:rsidRDefault="008E764B" w:rsidP="006430B5">
            <w:pPr>
              <w:pStyle w:val="TableParagraph"/>
              <w:ind w:right="102"/>
              <w:jc w:val="right"/>
            </w:pPr>
            <w:r w:rsidRPr="007A5160">
              <w:t>$</w:t>
            </w:r>
            <w:r w:rsidR="001938C6">
              <w:t>1,000,000</w:t>
            </w:r>
          </w:p>
        </w:tc>
      </w:tr>
      <w:tr w:rsidR="005A3839" w:rsidRPr="00126A71" w14:paraId="499B65D6" w14:textId="3D99FC62" w:rsidTr="005A3839">
        <w:trPr>
          <w:trHeight w:val="647"/>
        </w:trPr>
        <w:tc>
          <w:tcPr>
            <w:tcW w:w="2415" w:type="pct"/>
          </w:tcPr>
          <w:p w14:paraId="73277C16" w14:textId="7C6ECB7E" w:rsidR="005A3839" w:rsidRPr="00126A71" w:rsidRDefault="005A3839" w:rsidP="006430B5">
            <w:pPr>
              <w:pStyle w:val="TableParagraph"/>
              <w:spacing w:after="59" w:line="276" w:lineRule="auto"/>
              <w:ind w:left="101" w:right="130"/>
              <w:jc w:val="both"/>
            </w:pPr>
            <w:r w:rsidRPr="00126A71">
              <w:t>Marketing</w:t>
            </w:r>
          </w:p>
        </w:tc>
        <w:tc>
          <w:tcPr>
            <w:tcW w:w="1292" w:type="pct"/>
          </w:tcPr>
          <w:p w14:paraId="4CD059C4" w14:textId="193D50C0" w:rsidR="005A3839" w:rsidRPr="007A5160" w:rsidRDefault="005A3839" w:rsidP="006430B5">
            <w:pPr>
              <w:pStyle w:val="TableParagraph"/>
              <w:ind w:right="102"/>
              <w:jc w:val="right"/>
              <w:rPr>
                <w:vertAlign w:val="superscript"/>
              </w:rPr>
            </w:pPr>
            <w:r w:rsidRPr="007A5160">
              <w:t>$3</w:t>
            </w:r>
            <w:r w:rsidR="007A5160">
              <w:t>0</w:t>
            </w:r>
            <w:r w:rsidRPr="007A5160">
              <w:t>0,000</w:t>
            </w:r>
            <w:r w:rsidRPr="007A5160">
              <w:rPr>
                <w:vertAlign w:val="superscript"/>
              </w:rPr>
              <w:t xml:space="preserve"> (2)</w:t>
            </w:r>
          </w:p>
        </w:tc>
        <w:tc>
          <w:tcPr>
            <w:tcW w:w="1292" w:type="pct"/>
          </w:tcPr>
          <w:p w14:paraId="57740C13" w14:textId="07151F3F" w:rsidR="005A3839" w:rsidRPr="007A5160" w:rsidRDefault="008E764B" w:rsidP="006430B5">
            <w:pPr>
              <w:pStyle w:val="TableParagraph"/>
              <w:ind w:right="102"/>
              <w:jc w:val="right"/>
            </w:pPr>
            <w:r w:rsidRPr="007A5160">
              <w:t>$</w:t>
            </w:r>
            <w:r w:rsidR="007A5160">
              <w:t>300,000</w:t>
            </w:r>
          </w:p>
        </w:tc>
      </w:tr>
      <w:tr w:rsidR="005A3839" w:rsidRPr="00126A71" w14:paraId="734BF4A7" w14:textId="1811C577" w:rsidTr="005A3839">
        <w:trPr>
          <w:trHeight w:val="386"/>
        </w:trPr>
        <w:tc>
          <w:tcPr>
            <w:tcW w:w="2415" w:type="pct"/>
          </w:tcPr>
          <w:p w14:paraId="184ADFD7" w14:textId="77777777" w:rsidR="005A3839" w:rsidRPr="00126A71" w:rsidRDefault="005A3839" w:rsidP="00C62B0C">
            <w:pPr>
              <w:pStyle w:val="TableParagraph"/>
              <w:ind w:left="107"/>
              <w:rPr>
                <w:b/>
                <w:highlight w:val="yellow"/>
              </w:rPr>
            </w:pPr>
            <w:r w:rsidRPr="00126A71">
              <w:rPr>
                <w:b/>
              </w:rPr>
              <w:t>Total</w:t>
            </w:r>
          </w:p>
        </w:tc>
        <w:tc>
          <w:tcPr>
            <w:tcW w:w="1292" w:type="pct"/>
          </w:tcPr>
          <w:p w14:paraId="0B79EA9D" w14:textId="5725BAAB" w:rsidR="005A3839" w:rsidRPr="008E764B" w:rsidRDefault="008E764B" w:rsidP="00C62B0C">
            <w:pPr>
              <w:pStyle w:val="TableParagraph"/>
              <w:ind w:right="103"/>
              <w:jc w:val="right"/>
              <w:rPr>
                <w:b/>
              </w:rPr>
            </w:pPr>
            <w:r w:rsidRPr="008E764B">
              <w:rPr>
                <w:b/>
              </w:rPr>
              <w:t>$</w:t>
            </w:r>
            <w:r w:rsidR="007A5160">
              <w:rPr>
                <w:b/>
              </w:rPr>
              <w:t>8,</w:t>
            </w:r>
            <w:r w:rsidR="001938C6">
              <w:rPr>
                <w:b/>
              </w:rPr>
              <w:t>420,071</w:t>
            </w:r>
          </w:p>
        </w:tc>
        <w:tc>
          <w:tcPr>
            <w:tcW w:w="1292" w:type="pct"/>
          </w:tcPr>
          <w:p w14:paraId="7CD11DD3" w14:textId="7E662B98" w:rsidR="005A3839" w:rsidRPr="00DE069F" w:rsidRDefault="008E764B" w:rsidP="00C62B0C">
            <w:pPr>
              <w:pStyle w:val="TableParagraph"/>
              <w:ind w:right="103"/>
              <w:jc w:val="right"/>
              <w:rPr>
                <w:rFonts w:ascii="Arial Bold" w:hAnsi="Arial Bold"/>
                <w:b/>
                <w:vertAlign w:val="superscript"/>
              </w:rPr>
            </w:pPr>
            <w:r w:rsidRPr="008E764B">
              <w:rPr>
                <w:b/>
              </w:rPr>
              <w:t>$</w:t>
            </w:r>
            <w:r w:rsidR="001938C6">
              <w:rPr>
                <w:b/>
              </w:rPr>
              <w:t>10,300,071</w:t>
            </w:r>
          </w:p>
        </w:tc>
      </w:tr>
    </w:tbl>
    <w:bookmarkEnd w:id="3"/>
    <w:p w14:paraId="12C11D71" w14:textId="38871333" w:rsidR="0004018E" w:rsidRDefault="0004018E" w:rsidP="008E764B">
      <w:pPr>
        <w:pStyle w:val="BodyText"/>
        <w:numPr>
          <w:ilvl w:val="0"/>
          <w:numId w:val="16"/>
        </w:numPr>
        <w:spacing w:after="0"/>
        <w:jc w:val="both"/>
      </w:pPr>
      <w:r w:rsidRPr="00001964">
        <w:rPr>
          <w:szCs w:val="18"/>
        </w:rPr>
        <w:t xml:space="preserve">General and administrative costs are broken down as follows: </w:t>
      </w:r>
      <w:r>
        <w:t xml:space="preserve">legal and audit fees of approximately </w:t>
      </w:r>
      <w:r>
        <w:lastRenderedPageBreak/>
        <w:t>$</w:t>
      </w:r>
      <w:r w:rsidR="00C77974">
        <w:t>1</w:t>
      </w:r>
      <w:r w:rsidR="001C7001">
        <w:t>3</w:t>
      </w:r>
      <w:r w:rsidR="00685DE4">
        <w:t>0</w:t>
      </w:r>
      <w:r w:rsidR="00C77974">
        <w:t>,000</w:t>
      </w:r>
      <w:r>
        <w:t>; personnel costs (including administrative staff) of approximately $</w:t>
      </w:r>
      <w:r w:rsidR="002941D6" w:rsidRPr="008E764B">
        <w:t>53</w:t>
      </w:r>
      <w:r w:rsidR="00685DE4" w:rsidRPr="008E764B">
        <w:t>0</w:t>
      </w:r>
      <w:r w:rsidR="008443D8" w:rsidRPr="008E764B">
        <w:t>,000</w:t>
      </w:r>
      <w:r>
        <w:t xml:space="preserve">; office, regulatory, and insurance expenses of approximately </w:t>
      </w:r>
      <w:r w:rsidR="00E0486B">
        <w:t>$</w:t>
      </w:r>
      <w:r w:rsidR="00E0486B" w:rsidRPr="008E764B">
        <w:t>90,000</w:t>
      </w:r>
      <w:r w:rsidR="00EA594D">
        <w:t xml:space="preserve">; </w:t>
      </w:r>
      <w:r>
        <w:t>annual general meeting and TSXV</w:t>
      </w:r>
      <w:r w:rsidR="009B5FFC">
        <w:t xml:space="preserve"> </w:t>
      </w:r>
      <w:r w:rsidR="00D6739B">
        <w:t>listing-related</w:t>
      </w:r>
      <w:r>
        <w:t xml:space="preserve"> fees of approximately $</w:t>
      </w:r>
      <w:r w:rsidR="009B5FFC" w:rsidRPr="008E764B">
        <w:t>90,000</w:t>
      </w:r>
      <w:r>
        <w:t>; travel expenses of approximately $</w:t>
      </w:r>
      <w:r w:rsidR="00AB0EAE" w:rsidRPr="008E764B">
        <w:t>75,000</w:t>
      </w:r>
      <w:r>
        <w:t>; and general office expenses of approximately $</w:t>
      </w:r>
      <w:r w:rsidR="00412002" w:rsidRPr="008E764B">
        <w:t>8</w:t>
      </w:r>
      <w:r w:rsidR="000A0A4E" w:rsidRPr="008E764B">
        <w:t>5,000</w:t>
      </w:r>
      <w:r>
        <w:t>.</w:t>
      </w:r>
    </w:p>
    <w:p w14:paraId="4EAEF9CB" w14:textId="0B9CEF9D" w:rsidR="00C26937" w:rsidRDefault="0004018E" w:rsidP="00C26937">
      <w:pPr>
        <w:pStyle w:val="BodyText"/>
        <w:numPr>
          <w:ilvl w:val="0"/>
          <w:numId w:val="16"/>
        </w:numPr>
        <w:jc w:val="both"/>
      </w:pPr>
      <w:r>
        <w:t>Marketing costs are broken down as follows: conferences of approximately $</w:t>
      </w:r>
      <w:r w:rsidR="0076090D">
        <w:t>4</w:t>
      </w:r>
      <w:r w:rsidR="00F23451" w:rsidRPr="00551FD1">
        <w:t>0,000</w:t>
      </w:r>
      <w:r>
        <w:t>, digital marketing of approximately $</w:t>
      </w:r>
      <w:r w:rsidR="001307B7">
        <w:t>21</w:t>
      </w:r>
      <w:r w:rsidR="00D72EB0" w:rsidRPr="00551FD1">
        <w:t>0,000</w:t>
      </w:r>
      <w:r>
        <w:t>, and investor relations of approximately $</w:t>
      </w:r>
      <w:r w:rsidR="00094A3A" w:rsidRPr="00551FD1">
        <w:t>50,000</w:t>
      </w:r>
      <w:r w:rsidR="00691708">
        <w:t>.</w:t>
      </w:r>
    </w:p>
    <w:p w14:paraId="7565212A" w14:textId="46B5FCC5" w:rsidR="00A252DE" w:rsidRPr="00CC1A26" w:rsidRDefault="00A252DE" w:rsidP="00444EB9">
      <w:pPr>
        <w:pStyle w:val="BodyText"/>
        <w:spacing w:before="240"/>
        <w:jc w:val="both"/>
        <w:rPr>
          <w:i/>
          <w:iCs/>
        </w:rPr>
      </w:pPr>
      <w:r w:rsidRPr="00126A71">
        <w:t xml:space="preserve">The above noted allocation </w:t>
      </w:r>
      <w:r w:rsidR="005B18F5">
        <w:t xml:space="preserve">of available funds </w:t>
      </w:r>
      <w:r w:rsidRPr="00126A71">
        <w:t>and anticipated timing represents the Company’s current intentions b</w:t>
      </w:r>
      <w:r w:rsidR="005B18F5">
        <w:t>as</w:t>
      </w:r>
      <w:r w:rsidRPr="00126A71">
        <w:t xml:space="preserve">ed on current knowledge, planning and expectations of management of the Company. Although the Company intends to expend the proceeds from the Offering </w:t>
      </w:r>
      <w:r w:rsidR="005B18F5">
        <w:t xml:space="preserve">and other available funds </w:t>
      </w:r>
      <w:r w:rsidRPr="00126A71">
        <w:t xml:space="preserve">as set forth above, there may be circumstances where, for sound business reasons, a reallocation of funds may be deemed prudent or necessary and may vary materially from that set forth above, as the amounts actually allocated and spent will depend on a number of factors, including the Company’s ability to execute on its business plan. See the </w:t>
      </w:r>
      <w:r w:rsidR="00CC1A26">
        <w:t>“</w:t>
      </w:r>
      <w:r w:rsidR="00CC1A26" w:rsidRPr="00CC1A26">
        <w:rPr>
          <w:i/>
          <w:iCs/>
        </w:rPr>
        <w:t>Forward Looking Statements and the Material Factors, Assumptions and Risks Underlying Them</w:t>
      </w:r>
      <w:r w:rsidRPr="00126A71">
        <w:t>” section above. The Company has generated negative cash flows from operating activities since inception and anticipates that it will continue to have negative operating cash flow beyond the 12 months after the Closing Date of the Offering. As a result, certain of the net proceeds from this Offering will be used to fund such negative cash flow from operating activities in future periods.</w:t>
      </w:r>
    </w:p>
    <w:p w14:paraId="6BCAC333" w14:textId="6A15EC3F" w:rsidR="00A252DE" w:rsidRPr="00126A71" w:rsidRDefault="00A252DE" w:rsidP="00444EB9">
      <w:pPr>
        <w:pStyle w:val="BodyText"/>
        <w:jc w:val="both"/>
      </w:pPr>
      <w:r w:rsidRPr="00126A71">
        <w:t xml:space="preserve">The most recent audited annual financial statements and interim financial report of the Company included a going-concern note. The Company </w:t>
      </w:r>
      <w:r w:rsidR="005B18F5">
        <w:t xml:space="preserve">is still in the exploration stage and </w:t>
      </w:r>
      <w:r w:rsidRPr="00126A71">
        <w:t>has not yet generated positive cash flows from its operating activities, which may cast doubt on the Company’s ability to continue as a going concern. The Offering is intended to permit the Company to continue to explore its properties and is not expected to affect the decision to include a going concern note in the next annual financial statements of the Company.</w:t>
      </w:r>
    </w:p>
    <w:p w14:paraId="5808E7ED" w14:textId="7B4FA001" w:rsidR="00DD344E" w:rsidRPr="00126A71" w:rsidRDefault="007966A3" w:rsidP="003A2B1B">
      <w:pPr>
        <w:pStyle w:val="Heading1"/>
        <w:keepNext/>
        <w:widowControl/>
        <w:ind w:left="0"/>
      </w:pPr>
      <w:r w:rsidRPr="00126A71">
        <w:t>How</w:t>
      </w:r>
      <w:r w:rsidRPr="00126A71">
        <w:rPr>
          <w:spacing w:val="-2"/>
        </w:rPr>
        <w:t xml:space="preserve"> </w:t>
      </w:r>
      <w:r w:rsidRPr="00126A71">
        <w:t>have</w:t>
      </w:r>
      <w:r w:rsidRPr="00126A71">
        <w:rPr>
          <w:spacing w:val="-2"/>
        </w:rPr>
        <w:t xml:space="preserve"> </w:t>
      </w:r>
      <w:r w:rsidRPr="00126A71">
        <w:t>we used</w:t>
      </w:r>
      <w:r w:rsidRPr="00126A71">
        <w:rPr>
          <w:spacing w:val="-2"/>
        </w:rPr>
        <w:t xml:space="preserve"> </w:t>
      </w:r>
      <w:r w:rsidRPr="00126A71">
        <w:t>the</w:t>
      </w:r>
      <w:r w:rsidRPr="00126A71">
        <w:rPr>
          <w:spacing w:val="-2"/>
        </w:rPr>
        <w:t xml:space="preserve"> </w:t>
      </w:r>
      <w:r w:rsidRPr="00126A71">
        <w:t>other</w:t>
      </w:r>
      <w:r w:rsidRPr="00126A71">
        <w:rPr>
          <w:spacing w:val="-4"/>
        </w:rPr>
        <w:t xml:space="preserve"> </w:t>
      </w:r>
      <w:r w:rsidRPr="00126A71">
        <w:t>funds</w:t>
      </w:r>
      <w:r w:rsidRPr="00126A71">
        <w:rPr>
          <w:spacing w:val="-2"/>
        </w:rPr>
        <w:t xml:space="preserve"> </w:t>
      </w:r>
      <w:r w:rsidRPr="00126A71">
        <w:t>we</w:t>
      </w:r>
      <w:r w:rsidRPr="00126A71">
        <w:rPr>
          <w:spacing w:val="-2"/>
        </w:rPr>
        <w:t xml:space="preserve"> </w:t>
      </w:r>
      <w:r w:rsidRPr="00126A71">
        <w:t>have raised</w:t>
      </w:r>
      <w:r w:rsidRPr="00126A71">
        <w:rPr>
          <w:spacing w:val="1"/>
        </w:rPr>
        <w:t xml:space="preserve"> </w:t>
      </w:r>
      <w:r w:rsidRPr="00126A71">
        <w:t>in</w:t>
      </w:r>
      <w:r w:rsidRPr="00126A71">
        <w:rPr>
          <w:spacing w:val="-2"/>
        </w:rPr>
        <w:t xml:space="preserve"> </w:t>
      </w:r>
      <w:r w:rsidRPr="00126A71">
        <w:t>the</w:t>
      </w:r>
      <w:r w:rsidRPr="00126A71">
        <w:rPr>
          <w:spacing w:val="-3"/>
        </w:rPr>
        <w:t xml:space="preserve"> </w:t>
      </w:r>
      <w:r w:rsidRPr="00126A71">
        <w:t>past</w:t>
      </w:r>
      <w:r w:rsidRPr="00126A71">
        <w:rPr>
          <w:spacing w:val="-2"/>
        </w:rPr>
        <w:t xml:space="preserve"> </w:t>
      </w:r>
      <w:r w:rsidRPr="00126A71">
        <w:t>12</w:t>
      </w:r>
      <w:r w:rsidRPr="00126A71">
        <w:rPr>
          <w:spacing w:val="-2"/>
        </w:rPr>
        <w:t xml:space="preserve"> </w:t>
      </w:r>
      <w:r w:rsidRPr="00126A71">
        <w:t>months?</w:t>
      </w:r>
    </w:p>
    <w:p w14:paraId="18FF1C9C" w14:textId="275C7E67" w:rsidR="006430B5" w:rsidRPr="00126A71" w:rsidRDefault="006430B5" w:rsidP="003A2B1B">
      <w:pPr>
        <w:pStyle w:val="BodyText"/>
        <w:keepNext/>
        <w:widowControl/>
        <w:jc w:val="both"/>
      </w:pPr>
      <w:r w:rsidRPr="00126A71">
        <w:t xml:space="preserve">On </w:t>
      </w:r>
      <w:r w:rsidR="004821AD">
        <w:t>April 23</w:t>
      </w:r>
      <w:r w:rsidRPr="00126A71">
        <w:t>, 202</w:t>
      </w:r>
      <w:r w:rsidR="004821AD">
        <w:t>5</w:t>
      </w:r>
      <w:r w:rsidRPr="00126A71">
        <w:t xml:space="preserve">, the </w:t>
      </w:r>
      <w:r w:rsidR="00C31472">
        <w:t>C</w:t>
      </w:r>
      <w:r w:rsidRPr="00126A71">
        <w:t>ompany closed a non-brokered private placement, raising gross proceeds of $</w:t>
      </w:r>
      <w:r w:rsidR="004821AD">
        <w:t>3,000</w:t>
      </w:r>
      <w:r w:rsidRPr="00126A71">
        <w:t xml:space="preserve">,000 through the issuance of </w:t>
      </w:r>
      <w:r w:rsidR="004821AD" w:rsidRPr="004821AD">
        <w:t>9,375,000</w:t>
      </w:r>
      <w:r w:rsidR="004821AD">
        <w:t xml:space="preserve"> units</w:t>
      </w:r>
      <w:r w:rsidRPr="00126A71">
        <w:t xml:space="preserve"> at </w:t>
      </w:r>
      <w:r w:rsidR="00C31472">
        <w:t xml:space="preserve">a price of </w:t>
      </w:r>
      <w:r w:rsidRPr="00126A71">
        <w:t>$0.</w:t>
      </w:r>
      <w:r w:rsidR="004821AD">
        <w:t>32</w:t>
      </w:r>
      <w:r w:rsidRPr="00126A71">
        <w:t xml:space="preserve"> per </w:t>
      </w:r>
      <w:r w:rsidR="004821AD">
        <w:t>unit</w:t>
      </w:r>
      <w:r w:rsidRPr="00126A71">
        <w:t xml:space="preserve"> (the “</w:t>
      </w:r>
      <w:r w:rsidR="004821AD">
        <w:rPr>
          <w:b/>
          <w:bCs/>
        </w:rPr>
        <w:t>April 2025</w:t>
      </w:r>
      <w:r w:rsidRPr="00126A71">
        <w:rPr>
          <w:b/>
          <w:bCs/>
        </w:rPr>
        <w:t xml:space="preserve"> Private Placement</w:t>
      </w:r>
      <w:r w:rsidRPr="00126A71">
        <w:t>”)</w:t>
      </w:r>
      <w:r w:rsidR="00DA071F">
        <w:t>.</w:t>
      </w:r>
      <w:r w:rsidR="004821AD">
        <w:t xml:space="preserve"> </w:t>
      </w:r>
      <w:r w:rsidR="004821AD" w:rsidRPr="004821AD">
        <w:t xml:space="preserve">Each unit </w:t>
      </w:r>
      <w:r w:rsidR="00DA071F">
        <w:t xml:space="preserve">was </w:t>
      </w:r>
      <w:r w:rsidR="004821AD" w:rsidRPr="004821AD">
        <w:t xml:space="preserve">comprised of one </w:t>
      </w:r>
      <w:r w:rsidR="00DA071F">
        <w:t>Common Share</w:t>
      </w:r>
      <w:r w:rsidR="004821AD" w:rsidRPr="004821AD">
        <w:t xml:space="preserve"> and one-half </w:t>
      </w:r>
      <w:r w:rsidR="00DA071F">
        <w:t>of one C</w:t>
      </w:r>
      <w:r w:rsidR="004821AD" w:rsidRPr="004821AD">
        <w:t xml:space="preserve">ommon </w:t>
      </w:r>
      <w:r w:rsidR="00DA071F">
        <w:t>S</w:t>
      </w:r>
      <w:r w:rsidR="004821AD" w:rsidRPr="004821AD">
        <w:t xml:space="preserve">hare purchase warrant. Each whole warrant is exercisable into one </w:t>
      </w:r>
      <w:r w:rsidR="00DA071F">
        <w:t>Common Share</w:t>
      </w:r>
      <w:r w:rsidR="004821AD" w:rsidRPr="004821AD">
        <w:t xml:space="preserve"> at an exercise price of $0.45 per share for the first year from the date of issuance and $0.55 per share for the second year from the date of issuance</w:t>
      </w:r>
      <w:r w:rsidRPr="00126A71">
        <w:t xml:space="preserve">. </w:t>
      </w:r>
      <w:r w:rsidR="001661BE" w:rsidRPr="00126A71">
        <w:t>In connection with the closing, finders’ fees totaling $</w:t>
      </w:r>
      <w:r w:rsidR="00C17848">
        <w:t>17,5</w:t>
      </w:r>
      <w:r w:rsidR="001661BE" w:rsidRPr="00126A71">
        <w:t>00 were paid in cash</w:t>
      </w:r>
      <w:r w:rsidR="008141B3" w:rsidRPr="00126A71">
        <w:t>.</w:t>
      </w:r>
    </w:p>
    <w:tbl>
      <w:tblPr>
        <w:tblW w:w="5000" w:type="pct"/>
        <w:tblCellMar>
          <w:left w:w="0" w:type="dxa"/>
          <w:right w:w="0" w:type="dxa"/>
        </w:tblCellMar>
        <w:tblLook w:val="04A0" w:firstRow="1" w:lastRow="0" w:firstColumn="1" w:lastColumn="0" w:noHBand="0" w:noVBand="1"/>
      </w:tblPr>
      <w:tblGrid>
        <w:gridCol w:w="4870"/>
        <w:gridCol w:w="4870"/>
      </w:tblGrid>
      <w:tr w:rsidR="006430B5" w:rsidRPr="00126A71" w14:paraId="277A04ED" w14:textId="77777777" w:rsidTr="0032441D">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34B081" w14:textId="5235B8A3" w:rsidR="006430B5" w:rsidRPr="00126A71" w:rsidRDefault="006430B5">
            <w:pPr>
              <w:keepNext/>
              <w:spacing w:before="60" w:line="252" w:lineRule="auto"/>
              <w:rPr>
                <w:b/>
                <w:bCs/>
                <w:color w:val="000000"/>
                <w:szCs w:val="20"/>
              </w:rPr>
            </w:pPr>
            <w:r w:rsidRPr="00126A71">
              <w:rPr>
                <w:b/>
                <w:bCs/>
                <w:color w:val="000000"/>
                <w:szCs w:val="20"/>
              </w:rPr>
              <w:t xml:space="preserve">Intended Use of Proceeds of the </w:t>
            </w:r>
            <w:r w:rsidR="00C17848">
              <w:rPr>
                <w:b/>
                <w:bCs/>
                <w:szCs w:val="20"/>
              </w:rPr>
              <w:t>April</w:t>
            </w:r>
            <w:r w:rsidRPr="00126A71">
              <w:rPr>
                <w:b/>
                <w:bCs/>
                <w:szCs w:val="20"/>
              </w:rPr>
              <w:t xml:space="preserve"> 202</w:t>
            </w:r>
            <w:r w:rsidR="00C17848">
              <w:rPr>
                <w:b/>
                <w:bCs/>
                <w:szCs w:val="20"/>
              </w:rPr>
              <w:t>5</w:t>
            </w:r>
            <w:r w:rsidRPr="00126A71">
              <w:rPr>
                <w:b/>
                <w:bCs/>
                <w:szCs w:val="20"/>
              </w:rPr>
              <w:t xml:space="preserve"> Private Placement</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6400A8" w14:textId="06ED09EC" w:rsidR="006430B5" w:rsidRPr="00126A71" w:rsidRDefault="006430B5">
            <w:pPr>
              <w:keepNext/>
              <w:spacing w:before="60" w:after="60" w:line="252" w:lineRule="auto"/>
              <w:rPr>
                <w:b/>
                <w:bCs/>
                <w:color w:val="000000"/>
                <w:szCs w:val="20"/>
              </w:rPr>
            </w:pPr>
            <w:bookmarkStart w:id="4" w:name="_Hlk199315753"/>
            <w:r w:rsidRPr="00126A71">
              <w:rPr>
                <w:b/>
                <w:bCs/>
                <w:color w:val="000000"/>
                <w:szCs w:val="20"/>
              </w:rPr>
              <w:t xml:space="preserve">Actual Use of Proceeds from the </w:t>
            </w:r>
            <w:r w:rsidR="00C17848">
              <w:rPr>
                <w:b/>
                <w:bCs/>
                <w:szCs w:val="20"/>
              </w:rPr>
              <w:t xml:space="preserve">April </w:t>
            </w:r>
            <w:r w:rsidRPr="00126A71">
              <w:rPr>
                <w:b/>
                <w:bCs/>
                <w:szCs w:val="20"/>
              </w:rPr>
              <w:t>202</w:t>
            </w:r>
            <w:r w:rsidR="00C17848">
              <w:rPr>
                <w:b/>
                <w:bCs/>
                <w:szCs w:val="20"/>
              </w:rPr>
              <w:t xml:space="preserve">5 </w:t>
            </w:r>
            <w:r w:rsidRPr="00126A71">
              <w:rPr>
                <w:b/>
                <w:bCs/>
                <w:szCs w:val="20"/>
              </w:rPr>
              <w:t>Private Placement</w:t>
            </w:r>
            <w:bookmarkEnd w:id="4"/>
          </w:p>
        </w:tc>
      </w:tr>
      <w:tr w:rsidR="00DE069F" w:rsidRPr="00126A71" w14:paraId="38FA70AF" w14:textId="77777777" w:rsidTr="0032441D">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672908" w14:textId="77777777" w:rsidR="00CC0D0C" w:rsidRDefault="00CC0D0C" w:rsidP="00CC0D0C">
            <w:pPr>
              <w:pStyle w:val="ListParagraph"/>
              <w:keepNext/>
              <w:numPr>
                <w:ilvl w:val="0"/>
                <w:numId w:val="17"/>
              </w:numPr>
              <w:spacing w:before="60" w:after="60" w:line="252" w:lineRule="auto"/>
              <w:rPr>
                <w:szCs w:val="20"/>
              </w:rPr>
            </w:pPr>
            <w:r w:rsidRPr="00CC0D0C">
              <w:rPr>
                <w:szCs w:val="20"/>
              </w:rPr>
              <w:t>Goldfields Updated Preliminary Economic Assessment and related studies - $400,000</w:t>
            </w:r>
          </w:p>
          <w:p w14:paraId="2D9DF3B2" w14:textId="77777777" w:rsidR="00CC0D0C" w:rsidRDefault="00CC0D0C" w:rsidP="00CC0D0C">
            <w:pPr>
              <w:pStyle w:val="ListParagraph"/>
              <w:keepNext/>
              <w:numPr>
                <w:ilvl w:val="0"/>
                <w:numId w:val="17"/>
              </w:numPr>
              <w:spacing w:before="60" w:after="60" w:line="252" w:lineRule="auto"/>
              <w:rPr>
                <w:szCs w:val="20"/>
              </w:rPr>
            </w:pPr>
            <w:r w:rsidRPr="00CC0D0C">
              <w:rPr>
                <w:szCs w:val="20"/>
              </w:rPr>
              <w:t>Goldfields Permitting - $250,000</w:t>
            </w:r>
          </w:p>
          <w:p w14:paraId="1F9ABAB3" w14:textId="77777777" w:rsidR="00CC0D0C" w:rsidRDefault="00CC0D0C" w:rsidP="00CC0D0C">
            <w:pPr>
              <w:pStyle w:val="ListParagraph"/>
              <w:keepNext/>
              <w:numPr>
                <w:ilvl w:val="0"/>
                <w:numId w:val="17"/>
              </w:numPr>
              <w:spacing w:before="60" w:after="60" w:line="252" w:lineRule="auto"/>
              <w:rPr>
                <w:szCs w:val="20"/>
              </w:rPr>
            </w:pPr>
            <w:r w:rsidRPr="00CC0D0C">
              <w:rPr>
                <w:szCs w:val="20"/>
              </w:rPr>
              <w:t>Poma Rosa - $200,000</w:t>
            </w:r>
          </w:p>
          <w:p w14:paraId="0DF92000" w14:textId="77777777" w:rsidR="00CC0D0C" w:rsidRDefault="00CC0D0C" w:rsidP="00CC0D0C">
            <w:pPr>
              <w:pStyle w:val="ListParagraph"/>
              <w:keepNext/>
              <w:numPr>
                <w:ilvl w:val="0"/>
                <w:numId w:val="17"/>
              </w:numPr>
              <w:spacing w:before="60" w:after="60" w:line="252" w:lineRule="auto"/>
              <w:rPr>
                <w:szCs w:val="20"/>
              </w:rPr>
            </w:pPr>
            <w:r w:rsidRPr="00CC0D0C">
              <w:rPr>
                <w:szCs w:val="20"/>
              </w:rPr>
              <w:t>Marketing - $250,000</w:t>
            </w:r>
          </w:p>
          <w:p w14:paraId="0F1BAE0D" w14:textId="01B9A465" w:rsidR="00CC0D0C" w:rsidRPr="00CC0D0C" w:rsidRDefault="00CC0D0C" w:rsidP="00CC0D0C">
            <w:pPr>
              <w:pStyle w:val="ListParagraph"/>
              <w:keepNext/>
              <w:numPr>
                <w:ilvl w:val="0"/>
                <w:numId w:val="17"/>
              </w:numPr>
              <w:spacing w:before="60" w:after="60" w:line="252" w:lineRule="auto"/>
              <w:rPr>
                <w:szCs w:val="20"/>
              </w:rPr>
            </w:pPr>
            <w:r>
              <w:rPr>
                <w:szCs w:val="20"/>
              </w:rPr>
              <w:t>Working Capital -</w:t>
            </w:r>
            <w:r w:rsidR="005F7522">
              <w:rPr>
                <w:szCs w:val="20"/>
              </w:rPr>
              <w:t xml:space="preserve"> $1,900,000</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E1E3E6C" w14:textId="77777777" w:rsidR="00CC0D0C" w:rsidRDefault="00CC0D0C" w:rsidP="00CC0D0C">
            <w:pPr>
              <w:pStyle w:val="ListParagraph"/>
              <w:keepNext/>
              <w:numPr>
                <w:ilvl w:val="0"/>
                <w:numId w:val="18"/>
              </w:numPr>
              <w:spacing w:before="60" w:after="60" w:line="252" w:lineRule="auto"/>
              <w:rPr>
                <w:szCs w:val="20"/>
              </w:rPr>
            </w:pPr>
            <w:r w:rsidRPr="00CC0D0C">
              <w:rPr>
                <w:szCs w:val="20"/>
              </w:rPr>
              <w:t>Goldfields Updated Preliminary Economic Assessment and related studies - $400,000</w:t>
            </w:r>
          </w:p>
          <w:p w14:paraId="094D7048" w14:textId="77777777" w:rsidR="00CC0D0C" w:rsidRDefault="00CC0D0C" w:rsidP="00CC0D0C">
            <w:pPr>
              <w:pStyle w:val="ListParagraph"/>
              <w:keepNext/>
              <w:numPr>
                <w:ilvl w:val="0"/>
                <w:numId w:val="18"/>
              </w:numPr>
              <w:spacing w:before="60" w:after="60" w:line="252" w:lineRule="auto"/>
              <w:rPr>
                <w:szCs w:val="20"/>
              </w:rPr>
            </w:pPr>
            <w:r w:rsidRPr="00CC0D0C">
              <w:rPr>
                <w:szCs w:val="20"/>
              </w:rPr>
              <w:t>Goldfields Permitting - $250,000</w:t>
            </w:r>
          </w:p>
          <w:p w14:paraId="7AD932B9" w14:textId="77777777" w:rsidR="00CC0D0C" w:rsidRDefault="00CC0D0C" w:rsidP="00CC0D0C">
            <w:pPr>
              <w:pStyle w:val="ListParagraph"/>
              <w:keepNext/>
              <w:numPr>
                <w:ilvl w:val="0"/>
                <w:numId w:val="18"/>
              </w:numPr>
              <w:spacing w:before="60" w:after="60" w:line="252" w:lineRule="auto"/>
              <w:rPr>
                <w:szCs w:val="20"/>
              </w:rPr>
            </w:pPr>
            <w:r w:rsidRPr="00CC0D0C">
              <w:rPr>
                <w:szCs w:val="20"/>
              </w:rPr>
              <w:t>Poma Rosa - $200,000</w:t>
            </w:r>
          </w:p>
          <w:p w14:paraId="24C26525" w14:textId="77777777" w:rsidR="00CC0D0C" w:rsidRDefault="00CC0D0C" w:rsidP="00CC0D0C">
            <w:pPr>
              <w:pStyle w:val="ListParagraph"/>
              <w:keepNext/>
              <w:numPr>
                <w:ilvl w:val="0"/>
                <w:numId w:val="18"/>
              </w:numPr>
              <w:spacing w:before="60" w:after="60" w:line="252" w:lineRule="auto"/>
              <w:rPr>
                <w:szCs w:val="20"/>
              </w:rPr>
            </w:pPr>
            <w:r w:rsidRPr="00CC0D0C">
              <w:rPr>
                <w:szCs w:val="20"/>
              </w:rPr>
              <w:t>Marketing - $250,000</w:t>
            </w:r>
          </w:p>
          <w:p w14:paraId="65C0534E" w14:textId="642BC718" w:rsidR="00DE069F" w:rsidRDefault="00CC0D0C" w:rsidP="00CC0D0C">
            <w:pPr>
              <w:pStyle w:val="ListParagraph"/>
              <w:keepNext/>
              <w:numPr>
                <w:ilvl w:val="0"/>
                <w:numId w:val="18"/>
              </w:numPr>
              <w:spacing w:before="60" w:after="60" w:line="252" w:lineRule="auto"/>
              <w:rPr>
                <w:szCs w:val="20"/>
              </w:rPr>
            </w:pPr>
            <w:r w:rsidRPr="00CC0D0C">
              <w:rPr>
                <w:szCs w:val="20"/>
              </w:rPr>
              <w:t xml:space="preserve">Working Capital </w:t>
            </w:r>
            <w:r>
              <w:rPr>
                <w:szCs w:val="20"/>
              </w:rPr>
              <w:t>–</w:t>
            </w:r>
            <w:r w:rsidR="005F7522">
              <w:rPr>
                <w:szCs w:val="20"/>
              </w:rPr>
              <w:t xml:space="preserve"> $900,000</w:t>
            </w:r>
          </w:p>
          <w:p w14:paraId="33F0D3CF" w14:textId="0418BA24" w:rsidR="00CC0D0C" w:rsidRPr="00CC0D0C" w:rsidRDefault="00CC0D0C" w:rsidP="000412E9">
            <w:pPr>
              <w:keepNext/>
              <w:spacing w:before="60" w:after="60" w:line="252" w:lineRule="auto"/>
              <w:jc w:val="both"/>
              <w:rPr>
                <w:szCs w:val="20"/>
              </w:rPr>
            </w:pPr>
            <w:r>
              <w:rPr>
                <w:szCs w:val="20"/>
              </w:rPr>
              <w:t xml:space="preserve">A balance of </w:t>
            </w:r>
            <w:r w:rsidR="005F7522">
              <w:rPr>
                <w:szCs w:val="20"/>
              </w:rPr>
              <w:t xml:space="preserve">approximately </w:t>
            </w:r>
            <w:r>
              <w:rPr>
                <w:szCs w:val="20"/>
              </w:rPr>
              <w:t>$</w:t>
            </w:r>
            <w:r w:rsidR="005F7522">
              <w:rPr>
                <w:szCs w:val="20"/>
              </w:rPr>
              <w:t>1,000,000</w:t>
            </w:r>
            <w:r>
              <w:rPr>
                <w:szCs w:val="20"/>
              </w:rPr>
              <w:t xml:space="preserve"> remains unspent from the April 2025 Private Placement</w:t>
            </w:r>
            <w:r w:rsidR="005F7522">
              <w:rPr>
                <w:szCs w:val="20"/>
              </w:rPr>
              <w:t>.</w:t>
            </w:r>
            <w:r w:rsidR="000412E9">
              <w:rPr>
                <w:szCs w:val="20"/>
              </w:rPr>
              <w:t xml:space="preserve"> There have been no variances between the intended and actual use of proceeds.</w:t>
            </w:r>
          </w:p>
        </w:tc>
      </w:tr>
    </w:tbl>
    <w:p w14:paraId="384360E1" w14:textId="77777777" w:rsidR="00DD344E" w:rsidRPr="00126A71" w:rsidRDefault="00DD344E" w:rsidP="007827D1">
      <w:pPr>
        <w:pStyle w:val="BodyText"/>
        <w:spacing w:after="120"/>
      </w:pPr>
    </w:p>
    <w:p w14:paraId="70206383" w14:textId="37368541" w:rsidR="00DD344E" w:rsidRPr="00126A71" w:rsidRDefault="00DB5121" w:rsidP="00126A71">
      <w:pPr>
        <w:pStyle w:val="Heading1"/>
        <w:keepNext/>
        <w:widowControl/>
        <w:ind w:right="1138"/>
      </w:pPr>
      <w:r w:rsidRPr="00126A71">
        <w:t xml:space="preserve">PART 4: </w:t>
      </w:r>
      <w:r w:rsidR="007966A3" w:rsidRPr="00126A71">
        <w:t>FEES</w:t>
      </w:r>
      <w:r w:rsidR="007966A3" w:rsidRPr="00126A71">
        <w:rPr>
          <w:spacing w:val="-4"/>
        </w:rPr>
        <w:t xml:space="preserve"> </w:t>
      </w:r>
      <w:r w:rsidR="007966A3" w:rsidRPr="00126A71">
        <w:t>AND COMMISSIONS</w:t>
      </w:r>
    </w:p>
    <w:p w14:paraId="1B00B1A2" w14:textId="4C215546" w:rsidR="00DD344E" w:rsidRPr="007827D1" w:rsidRDefault="007966A3" w:rsidP="003B62AB">
      <w:pPr>
        <w:widowControl/>
        <w:spacing w:after="240" w:line="276" w:lineRule="auto"/>
        <w:ind w:left="202"/>
        <w:jc w:val="both"/>
        <w:rPr>
          <w:bCs/>
        </w:rPr>
      </w:pPr>
      <w:r w:rsidRPr="00126A71">
        <w:rPr>
          <w:b/>
        </w:rPr>
        <w:t>Who</w:t>
      </w:r>
      <w:r w:rsidRPr="00126A71">
        <w:rPr>
          <w:b/>
          <w:spacing w:val="-2"/>
        </w:rPr>
        <w:t xml:space="preserve"> </w:t>
      </w:r>
      <w:r w:rsidRPr="00126A71">
        <w:rPr>
          <w:b/>
        </w:rPr>
        <w:t>are</w:t>
      </w:r>
      <w:r w:rsidRPr="00126A71">
        <w:rPr>
          <w:b/>
          <w:spacing w:val="-3"/>
        </w:rPr>
        <w:t xml:space="preserve"> </w:t>
      </w:r>
      <w:r w:rsidRPr="00126A71">
        <w:rPr>
          <w:b/>
        </w:rPr>
        <w:t>the</w:t>
      </w:r>
      <w:r w:rsidRPr="00126A71">
        <w:rPr>
          <w:b/>
          <w:spacing w:val="-2"/>
        </w:rPr>
        <w:t xml:space="preserve"> </w:t>
      </w:r>
      <w:r w:rsidRPr="00126A71">
        <w:rPr>
          <w:b/>
        </w:rPr>
        <w:t>dealers</w:t>
      </w:r>
      <w:r w:rsidRPr="00126A71">
        <w:rPr>
          <w:b/>
          <w:spacing w:val="-3"/>
        </w:rPr>
        <w:t xml:space="preserve"> </w:t>
      </w:r>
      <w:r w:rsidRPr="00126A71">
        <w:rPr>
          <w:b/>
        </w:rPr>
        <w:t>or finders</w:t>
      </w:r>
      <w:r w:rsidRPr="00126A71">
        <w:rPr>
          <w:b/>
          <w:spacing w:val="-3"/>
        </w:rPr>
        <w:t xml:space="preserve"> </w:t>
      </w:r>
      <w:r w:rsidRPr="00126A71">
        <w:rPr>
          <w:b/>
        </w:rPr>
        <w:t>that</w:t>
      </w:r>
      <w:r w:rsidRPr="00126A71">
        <w:rPr>
          <w:b/>
          <w:spacing w:val="-2"/>
        </w:rPr>
        <w:t xml:space="preserve"> </w:t>
      </w:r>
      <w:r w:rsidRPr="00126A71">
        <w:rPr>
          <w:b/>
        </w:rPr>
        <w:t>we</w:t>
      </w:r>
      <w:r w:rsidRPr="00126A71">
        <w:rPr>
          <w:b/>
          <w:spacing w:val="-3"/>
        </w:rPr>
        <w:t xml:space="preserve"> </w:t>
      </w:r>
      <w:r w:rsidRPr="00126A71">
        <w:rPr>
          <w:b/>
        </w:rPr>
        <w:t>have engaged</w:t>
      </w:r>
      <w:r w:rsidRPr="00126A71">
        <w:rPr>
          <w:b/>
          <w:spacing w:val="-2"/>
        </w:rPr>
        <w:t xml:space="preserve"> </w:t>
      </w:r>
      <w:r w:rsidRPr="00126A71">
        <w:rPr>
          <w:b/>
        </w:rPr>
        <w:t>in</w:t>
      </w:r>
      <w:r w:rsidRPr="00126A71">
        <w:rPr>
          <w:b/>
          <w:spacing w:val="-2"/>
        </w:rPr>
        <w:t xml:space="preserve"> </w:t>
      </w:r>
      <w:r w:rsidRPr="00126A71">
        <w:rPr>
          <w:b/>
        </w:rPr>
        <w:t>connection</w:t>
      </w:r>
      <w:r w:rsidRPr="00126A71">
        <w:rPr>
          <w:b/>
          <w:spacing w:val="-2"/>
        </w:rPr>
        <w:t xml:space="preserve"> </w:t>
      </w:r>
      <w:r w:rsidRPr="00126A71">
        <w:rPr>
          <w:b/>
        </w:rPr>
        <w:t>with</w:t>
      </w:r>
      <w:r w:rsidRPr="00126A71">
        <w:rPr>
          <w:b/>
          <w:spacing w:val="-1"/>
        </w:rPr>
        <w:t xml:space="preserve"> </w:t>
      </w:r>
      <w:r w:rsidRPr="00126A71">
        <w:rPr>
          <w:b/>
        </w:rPr>
        <w:t>this</w:t>
      </w:r>
      <w:r w:rsidRPr="00126A71">
        <w:rPr>
          <w:b/>
          <w:spacing w:val="-1"/>
        </w:rPr>
        <w:t xml:space="preserve"> </w:t>
      </w:r>
      <w:r w:rsidRPr="00126A71">
        <w:rPr>
          <w:b/>
        </w:rPr>
        <w:t>Offering,</w:t>
      </w:r>
      <w:r w:rsidRPr="00126A71">
        <w:rPr>
          <w:b/>
          <w:spacing w:val="-2"/>
        </w:rPr>
        <w:t xml:space="preserve"> </w:t>
      </w:r>
      <w:r w:rsidRPr="00126A71">
        <w:rPr>
          <w:b/>
        </w:rPr>
        <w:t>if</w:t>
      </w:r>
      <w:r w:rsidRPr="00126A71">
        <w:rPr>
          <w:b/>
          <w:spacing w:val="-3"/>
        </w:rPr>
        <w:t xml:space="preserve"> </w:t>
      </w:r>
      <w:r w:rsidRPr="00126A71">
        <w:rPr>
          <w:b/>
        </w:rPr>
        <w:t>any, and</w:t>
      </w:r>
      <w:r w:rsidRPr="00126A71">
        <w:rPr>
          <w:b/>
          <w:spacing w:val="-53"/>
        </w:rPr>
        <w:t xml:space="preserve"> </w:t>
      </w:r>
      <w:r w:rsidRPr="00126A71">
        <w:rPr>
          <w:b/>
        </w:rPr>
        <w:t>what</w:t>
      </w:r>
      <w:r w:rsidRPr="00126A71">
        <w:rPr>
          <w:b/>
          <w:spacing w:val="-2"/>
        </w:rPr>
        <w:t xml:space="preserve"> </w:t>
      </w:r>
      <w:r w:rsidRPr="00126A71">
        <w:rPr>
          <w:b/>
        </w:rPr>
        <w:t>are</w:t>
      </w:r>
      <w:r w:rsidRPr="00126A71">
        <w:rPr>
          <w:b/>
          <w:spacing w:val="-1"/>
        </w:rPr>
        <w:t xml:space="preserve"> </w:t>
      </w:r>
      <w:r w:rsidRPr="00126A71">
        <w:rPr>
          <w:b/>
        </w:rPr>
        <w:t>their</w:t>
      </w:r>
      <w:r w:rsidRPr="00126A71">
        <w:rPr>
          <w:b/>
          <w:spacing w:val="-1"/>
        </w:rPr>
        <w:t xml:space="preserve"> </w:t>
      </w:r>
      <w:r w:rsidRPr="00126A71">
        <w:rPr>
          <w:b/>
        </w:rPr>
        <w:t>fees?</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6925"/>
      </w:tblGrid>
      <w:tr w:rsidR="002E309B" w:rsidRPr="00126A71" w14:paraId="56E2CAC3" w14:textId="77777777" w:rsidTr="00CE5440">
        <w:trPr>
          <w:trHeight w:val="602"/>
        </w:trPr>
        <w:tc>
          <w:tcPr>
            <w:tcW w:w="2426" w:type="dxa"/>
            <w:shd w:val="clear" w:color="auto" w:fill="D9D9D9"/>
          </w:tcPr>
          <w:p w14:paraId="04AB60BB" w14:textId="10C4909B" w:rsidR="00DD344E" w:rsidRPr="00126A71" w:rsidRDefault="0006773A" w:rsidP="00656880">
            <w:pPr>
              <w:pStyle w:val="TableParagraph"/>
              <w:keepNext/>
              <w:widowControl/>
              <w:spacing w:before="42"/>
              <w:ind w:left="107"/>
              <w:rPr>
                <w:b/>
              </w:rPr>
            </w:pPr>
            <w:r>
              <w:rPr>
                <w:b/>
              </w:rPr>
              <w:lastRenderedPageBreak/>
              <w:t>Underwriter</w:t>
            </w:r>
            <w:r w:rsidR="003A2B1B">
              <w:rPr>
                <w:b/>
              </w:rPr>
              <w:t>s</w:t>
            </w:r>
            <w:r w:rsidR="00BB6DD9" w:rsidRPr="00126A71">
              <w:rPr>
                <w:b/>
              </w:rPr>
              <w:t>:</w:t>
            </w:r>
          </w:p>
        </w:tc>
        <w:tc>
          <w:tcPr>
            <w:tcW w:w="6925" w:type="dxa"/>
          </w:tcPr>
          <w:p w14:paraId="3DAAA759" w14:textId="2415F53F" w:rsidR="00DD344E" w:rsidRPr="00126A71" w:rsidRDefault="00444EB9" w:rsidP="001A2F76">
            <w:pPr>
              <w:pStyle w:val="TableParagraph"/>
              <w:keepNext/>
              <w:widowControl/>
              <w:spacing w:before="42" w:line="276" w:lineRule="auto"/>
              <w:ind w:left="105" w:right="112"/>
              <w:jc w:val="both"/>
            </w:pPr>
            <w:r>
              <w:t>Cormark Securities Inc.</w:t>
            </w:r>
            <w:r w:rsidR="00BB6DD9" w:rsidRPr="00126A71">
              <w:t>,</w:t>
            </w:r>
            <w:r w:rsidR="007966A3" w:rsidRPr="00126A71">
              <w:t xml:space="preserve"> as </w:t>
            </w:r>
            <w:r w:rsidR="003A2B1B">
              <w:t>lead</w:t>
            </w:r>
            <w:r w:rsidR="00C31472">
              <w:t xml:space="preserve"> </w:t>
            </w:r>
            <w:r w:rsidR="001A2F76" w:rsidRPr="00126A71">
              <w:t>underwriter</w:t>
            </w:r>
            <w:r w:rsidR="007966A3" w:rsidRPr="00126A71">
              <w:t xml:space="preserve"> and </w:t>
            </w:r>
            <w:r w:rsidR="003A2B1B">
              <w:t xml:space="preserve">sole </w:t>
            </w:r>
            <w:r w:rsidR="007966A3" w:rsidRPr="00126A71">
              <w:t>bookrunner</w:t>
            </w:r>
            <w:r w:rsidR="003A2B1B">
              <w:t>, and a syndicate of underwriters to be formed</w:t>
            </w:r>
            <w:r w:rsidR="0006773A">
              <w:t>.</w:t>
            </w:r>
          </w:p>
        </w:tc>
      </w:tr>
      <w:tr w:rsidR="002E309B" w:rsidRPr="00126A71" w14:paraId="1D29CDB8" w14:textId="77777777">
        <w:trPr>
          <w:trHeight w:val="873"/>
        </w:trPr>
        <w:tc>
          <w:tcPr>
            <w:tcW w:w="2426" w:type="dxa"/>
            <w:shd w:val="clear" w:color="auto" w:fill="D9D9D9"/>
          </w:tcPr>
          <w:p w14:paraId="459FB3CF" w14:textId="55D7D647" w:rsidR="00DD344E" w:rsidRPr="00126A71" w:rsidRDefault="00F14234">
            <w:pPr>
              <w:pStyle w:val="TableParagraph"/>
              <w:spacing w:before="41"/>
              <w:ind w:left="107"/>
              <w:rPr>
                <w:b/>
              </w:rPr>
            </w:pPr>
            <w:r>
              <w:rPr>
                <w:b/>
              </w:rPr>
              <w:t>Com</w:t>
            </w:r>
            <w:r w:rsidR="005D7247">
              <w:rPr>
                <w:b/>
              </w:rPr>
              <w:t>pensation</w:t>
            </w:r>
            <w:r w:rsidR="007966A3" w:rsidRPr="00126A71">
              <w:rPr>
                <w:b/>
              </w:rPr>
              <w:t>:</w:t>
            </w:r>
          </w:p>
        </w:tc>
        <w:tc>
          <w:tcPr>
            <w:tcW w:w="6925" w:type="dxa"/>
          </w:tcPr>
          <w:p w14:paraId="1AC1F03B" w14:textId="367B1E97" w:rsidR="005D7247" w:rsidRPr="00126A71" w:rsidRDefault="007966A3" w:rsidP="0032441D">
            <w:pPr>
              <w:pStyle w:val="TableParagraph"/>
              <w:spacing w:before="41" w:line="276" w:lineRule="auto"/>
              <w:ind w:left="105" w:right="112"/>
              <w:jc w:val="both"/>
              <w:rPr>
                <w:spacing w:val="-2"/>
              </w:rPr>
            </w:pPr>
            <w:r w:rsidRPr="00126A71">
              <w:t>Cash</w:t>
            </w:r>
            <w:r w:rsidRPr="00126A71">
              <w:rPr>
                <w:spacing w:val="-3"/>
              </w:rPr>
              <w:t xml:space="preserve"> </w:t>
            </w:r>
            <w:r w:rsidR="00C31472">
              <w:t>commission</w:t>
            </w:r>
            <w:r w:rsidR="00C31472" w:rsidRPr="00126A71">
              <w:rPr>
                <w:spacing w:val="-2"/>
              </w:rPr>
              <w:t xml:space="preserve"> </w:t>
            </w:r>
            <w:r w:rsidRPr="00126A71">
              <w:t>equal</w:t>
            </w:r>
            <w:r w:rsidRPr="00126A71">
              <w:rPr>
                <w:spacing w:val="-3"/>
              </w:rPr>
              <w:t xml:space="preserve"> </w:t>
            </w:r>
            <w:r w:rsidR="00656880" w:rsidRPr="00126A71">
              <w:t xml:space="preserve">to </w:t>
            </w:r>
            <w:r w:rsidR="00F14234">
              <w:t>6.0</w:t>
            </w:r>
            <w:r w:rsidRPr="00126A71">
              <w:t>%</w:t>
            </w:r>
            <w:r w:rsidRPr="00126A71">
              <w:rPr>
                <w:spacing w:val="-2"/>
              </w:rPr>
              <w:t xml:space="preserve"> </w:t>
            </w:r>
            <w:r w:rsidRPr="00126A71">
              <w:t>of</w:t>
            </w:r>
            <w:r w:rsidRPr="00126A71">
              <w:rPr>
                <w:spacing w:val="-2"/>
              </w:rPr>
              <w:t xml:space="preserve"> </w:t>
            </w:r>
            <w:r w:rsidRPr="00126A71">
              <w:t>the</w:t>
            </w:r>
            <w:r w:rsidRPr="00126A71">
              <w:rPr>
                <w:spacing w:val="-2"/>
              </w:rPr>
              <w:t xml:space="preserve"> </w:t>
            </w:r>
            <w:r w:rsidRPr="00126A71">
              <w:t>gross</w:t>
            </w:r>
            <w:r w:rsidRPr="00126A71">
              <w:rPr>
                <w:spacing w:val="-2"/>
              </w:rPr>
              <w:t xml:space="preserve"> </w:t>
            </w:r>
            <w:r w:rsidRPr="00126A71">
              <w:t>proceeds</w:t>
            </w:r>
            <w:r w:rsidRPr="00126A71">
              <w:rPr>
                <w:spacing w:val="-1"/>
              </w:rPr>
              <w:t xml:space="preserve"> </w:t>
            </w:r>
            <w:r w:rsidRPr="00126A71">
              <w:t>of</w:t>
            </w:r>
            <w:r w:rsidRPr="00126A71">
              <w:rPr>
                <w:spacing w:val="-2"/>
              </w:rPr>
              <w:t xml:space="preserve"> </w:t>
            </w:r>
            <w:r w:rsidRPr="00126A71">
              <w:t>the</w:t>
            </w:r>
            <w:r w:rsidRPr="00126A71">
              <w:rPr>
                <w:spacing w:val="2"/>
              </w:rPr>
              <w:t xml:space="preserve"> </w:t>
            </w:r>
            <w:r w:rsidRPr="00126A71">
              <w:t>Offering</w:t>
            </w:r>
            <w:r w:rsidRPr="00126A71">
              <w:rPr>
                <w:spacing w:val="-2"/>
              </w:rPr>
              <w:t xml:space="preserve"> </w:t>
            </w:r>
            <w:r w:rsidR="00656880" w:rsidRPr="00126A71">
              <w:rPr>
                <w:spacing w:val="-2"/>
              </w:rPr>
              <w:t>shall be paid to the</w:t>
            </w:r>
            <w:r w:rsidR="00F14234">
              <w:rPr>
                <w:spacing w:val="-2"/>
              </w:rPr>
              <w:t xml:space="preserve"> </w:t>
            </w:r>
            <w:r w:rsidR="0006773A">
              <w:rPr>
                <w:spacing w:val="-2"/>
              </w:rPr>
              <w:t>Underwriter</w:t>
            </w:r>
            <w:r w:rsidR="003A2B1B">
              <w:rPr>
                <w:spacing w:val="-2"/>
              </w:rPr>
              <w:t>s</w:t>
            </w:r>
            <w:r w:rsidR="00CE5440" w:rsidRPr="00126A71">
              <w:rPr>
                <w:spacing w:val="-2"/>
              </w:rPr>
              <w:t xml:space="preserve"> (the </w:t>
            </w:r>
            <w:r w:rsidR="00FF58F8" w:rsidRPr="00126A71">
              <w:rPr>
                <w:spacing w:val="-2"/>
              </w:rPr>
              <w:t>“</w:t>
            </w:r>
            <w:r w:rsidR="0006773A">
              <w:rPr>
                <w:b/>
                <w:bCs/>
                <w:spacing w:val="-2"/>
              </w:rPr>
              <w:t>Underwriter</w:t>
            </w:r>
            <w:r w:rsidR="003A2B1B">
              <w:rPr>
                <w:b/>
                <w:bCs/>
                <w:spacing w:val="-2"/>
              </w:rPr>
              <w:t>s</w:t>
            </w:r>
            <w:r w:rsidR="00FF58F8" w:rsidRPr="00126A71">
              <w:rPr>
                <w:b/>
                <w:bCs/>
                <w:spacing w:val="-2"/>
              </w:rPr>
              <w:t>’</w:t>
            </w:r>
            <w:r w:rsidR="0032441D" w:rsidRPr="00126A71">
              <w:rPr>
                <w:b/>
                <w:bCs/>
                <w:spacing w:val="-2"/>
              </w:rPr>
              <w:t xml:space="preserve"> </w:t>
            </w:r>
            <w:r w:rsidR="00CE5440" w:rsidRPr="00126A71">
              <w:rPr>
                <w:b/>
                <w:bCs/>
                <w:spacing w:val="-2"/>
              </w:rPr>
              <w:t>Fee</w:t>
            </w:r>
            <w:r w:rsidR="00FF58F8" w:rsidRPr="00126A71">
              <w:rPr>
                <w:spacing w:val="-2"/>
              </w:rPr>
              <w:t>”</w:t>
            </w:r>
            <w:r w:rsidR="00CE5440" w:rsidRPr="00126A71">
              <w:rPr>
                <w:spacing w:val="-2"/>
              </w:rPr>
              <w:t>).</w:t>
            </w:r>
            <w:r w:rsidR="00444EB9">
              <w:rPr>
                <w:spacing w:val="-2"/>
              </w:rPr>
              <w:t xml:space="preserve"> </w:t>
            </w:r>
            <w:r w:rsidR="005A3839">
              <w:rPr>
                <w:spacing w:val="-2"/>
              </w:rPr>
              <w:t>T</w:t>
            </w:r>
            <w:r w:rsidR="005A3839" w:rsidRPr="005A3839">
              <w:rPr>
                <w:spacing w:val="-2"/>
              </w:rPr>
              <w:t>he Underwriters shall also receive broker warrants (the “</w:t>
            </w:r>
            <w:r w:rsidR="005A3839" w:rsidRPr="005A3839">
              <w:rPr>
                <w:b/>
                <w:bCs/>
                <w:spacing w:val="-2"/>
              </w:rPr>
              <w:t>Broker Warrants</w:t>
            </w:r>
            <w:r w:rsidR="005A3839" w:rsidRPr="005A3839">
              <w:rPr>
                <w:spacing w:val="-2"/>
              </w:rPr>
              <w:t>”) equal to 6.0% of the number of Offered S</w:t>
            </w:r>
            <w:r w:rsidR="005A3839">
              <w:rPr>
                <w:spacing w:val="-2"/>
              </w:rPr>
              <w:t>hares</w:t>
            </w:r>
            <w:r w:rsidR="005A3839" w:rsidRPr="005A3839">
              <w:rPr>
                <w:spacing w:val="-2"/>
              </w:rPr>
              <w:t xml:space="preserve"> issued pursuant to the Offering. Each Broker Warrant will entitle the holder thereof to purchase one </w:t>
            </w:r>
            <w:r w:rsidR="008F5A12">
              <w:rPr>
                <w:spacing w:val="-2"/>
              </w:rPr>
              <w:t xml:space="preserve">Common Share </w:t>
            </w:r>
            <w:r w:rsidR="005A3839" w:rsidRPr="005A3839">
              <w:rPr>
                <w:spacing w:val="-2"/>
              </w:rPr>
              <w:t>at a price of $1.00 for a period of 24 months following the Closing Date.</w:t>
            </w:r>
            <w:r w:rsidR="00E04444">
              <w:rPr>
                <w:spacing w:val="-2"/>
              </w:rPr>
              <w:t xml:space="preserve"> The Underwriters’ Fee and Broker Warrants shall include any HD Shares issued pursuant to the Option.</w:t>
            </w:r>
          </w:p>
        </w:tc>
      </w:tr>
    </w:tbl>
    <w:p w14:paraId="67C5CDDA" w14:textId="77777777" w:rsidR="00DD344E" w:rsidRPr="00126A71" w:rsidRDefault="00DD344E" w:rsidP="007827D1">
      <w:pPr>
        <w:pStyle w:val="BodyText"/>
        <w:spacing w:after="120"/>
      </w:pPr>
    </w:p>
    <w:p w14:paraId="37E18D0C" w14:textId="10F6D027" w:rsidR="00DD344E" w:rsidRPr="00126A71" w:rsidRDefault="007966A3" w:rsidP="005F4F91">
      <w:pPr>
        <w:pStyle w:val="Heading1"/>
        <w:spacing w:before="93"/>
        <w:ind w:left="0"/>
      </w:pPr>
      <w:r w:rsidRPr="00126A71">
        <w:t>Do</w:t>
      </w:r>
      <w:r w:rsidR="0006773A">
        <w:t>es</w:t>
      </w:r>
      <w:r w:rsidRPr="00126A71">
        <w:rPr>
          <w:spacing w:val="-3"/>
        </w:rPr>
        <w:t xml:space="preserve"> </w:t>
      </w:r>
      <w:r w:rsidRPr="00126A71">
        <w:t>the</w:t>
      </w:r>
      <w:r w:rsidRPr="00126A71">
        <w:rPr>
          <w:spacing w:val="-2"/>
        </w:rPr>
        <w:t xml:space="preserve"> </w:t>
      </w:r>
      <w:r w:rsidR="00DD2607" w:rsidRPr="00126A71">
        <w:t>Underwriter</w:t>
      </w:r>
      <w:r w:rsidR="003A2B1B">
        <w:t>s</w:t>
      </w:r>
      <w:r w:rsidRPr="00126A71">
        <w:rPr>
          <w:spacing w:val="-2"/>
        </w:rPr>
        <w:t xml:space="preserve"> </w:t>
      </w:r>
      <w:r w:rsidRPr="00126A71">
        <w:t>have</w:t>
      </w:r>
      <w:r w:rsidRPr="00126A71">
        <w:rPr>
          <w:spacing w:val="-1"/>
        </w:rPr>
        <w:t xml:space="preserve"> </w:t>
      </w:r>
      <w:r w:rsidRPr="00126A71">
        <w:t>a</w:t>
      </w:r>
      <w:r w:rsidRPr="00126A71">
        <w:rPr>
          <w:spacing w:val="-3"/>
        </w:rPr>
        <w:t xml:space="preserve"> </w:t>
      </w:r>
      <w:r w:rsidRPr="00126A71">
        <w:t>conflict</w:t>
      </w:r>
      <w:r w:rsidRPr="00126A71">
        <w:rPr>
          <w:spacing w:val="-2"/>
        </w:rPr>
        <w:t xml:space="preserve"> </w:t>
      </w:r>
      <w:r w:rsidRPr="00126A71">
        <w:t>of</w:t>
      </w:r>
      <w:r w:rsidRPr="00126A71">
        <w:rPr>
          <w:spacing w:val="-1"/>
        </w:rPr>
        <w:t xml:space="preserve"> </w:t>
      </w:r>
      <w:r w:rsidRPr="00126A71">
        <w:t>interest?</w:t>
      </w:r>
    </w:p>
    <w:p w14:paraId="31E2B43B" w14:textId="1E86C09F" w:rsidR="00DD344E" w:rsidRPr="00126A71" w:rsidRDefault="007966A3" w:rsidP="00F14234">
      <w:pPr>
        <w:pStyle w:val="BodyText"/>
        <w:jc w:val="both"/>
      </w:pPr>
      <w:r w:rsidRPr="00126A71">
        <w:t>To</w:t>
      </w:r>
      <w:r w:rsidRPr="00126A71">
        <w:rPr>
          <w:spacing w:val="20"/>
        </w:rPr>
        <w:t xml:space="preserve"> </w:t>
      </w:r>
      <w:r w:rsidRPr="00126A71">
        <w:t>the</w:t>
      </w:r>
      <w:r w:rsidRPr="00126A71">
        <w:rPr>
          <w:spacing w:val="19"/>
        </w:rPr>
        <w:t xml:space="preserve"> </w:t>
      </w:r>
      <w:r w:rsidRPr="00126A71">
        <w:t>knowledge</w:t>
      </w:r>
      <w:r w:rsidRPr="00126A71">
        <w:rPr>
          <w:spacing w:val="23"/>
        </w:rPr>
        <w:t xml:space="preserve"> </w:t>
      </w:r>
      <w:r w:rsidRPr="00126A71">
        <w:t>of</w:t>
      </w:r>
      <w:r w:rsidRPr="00126A71">
        <w:rPr>
          <w:spacing w:val="19"/>
        </w:rPr>
        <w:t xml:space="preserve"> </w:t>
      </w:r>
      <w:r w:rsidRPr="00126A71">
        <w:t>the</w:t>
      </w:r>
      <w:r w:rsidRPr="00126A71">
        <w:rPr>
          <w:spacing w:val="20"/>
        </w:rPr>
        <w:t xml:space="preserve"> </w:t>
      </w:r>
      <w:r w:rsidRPr="00126A71">
        <w:t>Company,</w:t>
      </w:r>
      <w:r w:rsidRPr="00126A71">
        <w:rPr>
          <w:spacing w:val="20"/>
        </w:rPr>
        <w:t xml:space="preserve"> </w:t>
      </w:r>
      <w:r w:rsidRPr="00126A71">
        <w:t>it</w:t>
      </w:r>
      <w:r w:rsidRPr="00126A71">
        <w:rPr>
          <w:spacing w:val="23"/>
        </w:rPr>
        <w:t xml:space="preserve"> </w:t>
      </w:r>
      <w:r w:rsidRPr="00126A71">
        <w:t>is</w:t>
      </w:r>
      <w:r w:rsidRPr="00126A71">
        <w:rPr>
          <w:spacing w:val="21"/>
        </w:rPr>
        <w:t xml:space="preserve"> </w:t>
      </w:r>
      <w:r w:rsidRPr="00126A71">
        <w:t>not</w:t>
      </w:r>
      <w:r w:rsidRPr="00126A71">
        <w:rPr>
          <w:spacing w:val="21"/>
        </w:rPr>
        <w:t xml:space="preserve"> </w:t>
      </w:r>
      <w:r w:rsidRPr="00126A71">
        <w:t>a</w:t>
      </w:r>
      <w:r w:rsidRPr="00126A71">
        <w:rPr>
          <w:spacing w:val="20"/>
        </w:rPr>
        <w:t xml:space="preserve"> </w:t>
      </w:r>
      <w:r w:rsidR="00FF58F8" w:rsidRPr="00126A71">
        <w:t>“</w:t>
      </w:r>
      <w:r w:rsidRPr="00126A71">
        <w:t>related</w:t>
      </w:r>
      <w:r w:rsidRPr="00126A71">
        <w:rPr>
          <w:spacing w:val="21"/>
        </w:rPr>
        <w:t xml:space="preserve"> </w:t>
      </w:r>
      <w:r w:rsidRPr="00126A71">
        <w:t>issuer</w:t>
      </w:r>
      <w:r w:rsidR="00FF58F8" w:rsidRPr="00126A71">
        <w:t>”</w:t>
      </w:r>
      <w:r w:rsidRPr="00126A71">
        <w:rPr>
          <w:spacing w:val="21"/>
        </w:rPr>
        <w:t xml:space="preserve"> </w:t>
      </w:r>
      <w:r w:rsidRPr="00126A71">
        <w:t>or</w:t>
      </w:r>
      <w:r w:rsidRPr="00126A71">
        <w:rPr>
          <w:spacing w:val="21"/>
        </w:rPr>
        <w:t xml:space="preserve"> </w:t>
      </w:r>
      <w:r w:rsidR="00FF58F8" w:rsidRPr="00126A71">
        <w:t>“</w:t>
      </w:r>
      <w:r w:rsidRPr="00126A71">
        <w:t>connected</w:t>
      </w:r>
      <w:r w:rsidRPr="00126A71">
        <w:rPr>
          <w:spacing w:val="22"/>
        </w:rPr>
        <w:t xml:space="preserve"> </w:t>
      </w:r>
      <w:r w:rsidRPr="00126A71">
        <w:t>issuer</w:t>
      </w:r>
      <w:r w:rsidR="00FF58F8" w:rsidRPr="00126A71">
        <w:t>”</w:t>
      </w:r>
      <w:r w:rsidRPr="00126A71">
        <w:rPr>
          <w:spacing w:val="21"/>
        </w:rPr>
        <w:t xml:space="preserve"> </w:t>
      </w:r>
      <w:r w:rsidRPr="00126A71">
        <w:t>of</w:t>
      </w:r>
      <w:r w:rsidRPr="00126A71">
        <w:rPr>
          <w:spacing w:val="20"/>
        </w:rPr>
        <w:t xml:space="preserve"> </w:t>
      </w:r>
      <w:r w:rsidRPr="00126A71">
        <w:t>or</w:t>
      </w:r>
      <w:r w:rsidRPr="00126A71">
        <w:rPr>
          <w:spacing w:val="20"/>
        </w:rPr>
        <w:t xml:space="preserve"> </w:t>
      </w:r>
      <w:r w:rsidRPr="00126A71">
        <w:t>to</w:t>
      </w:r>
      <w:r w:rsidRPr="00126A71">
        <w:rPr>
          <w:spacing w:val="20"/>
        </w:rPr>
        <w:t xml:space="preserve"> </w:t>
      </w:r>
      <w:r w:rsidR="003A2B1B">
        <w:rPr>
          <w:spacing w:val="20"/>
        </w:rPr>
        <w:t xml:space="preserve">any of </w:t>
      </w:r>
      <w:r w:rsidRPr="00126A71">
        <w:t>the</w:t>
      </w:r>
      <w:r w:rsidR="005F4F91">
        <w:t xml:space="preserve"> </w:t>
      </w:r>
      <w:r w:rsidRPr="00126A71">
        <w:rPr>
          <w:spacing w:val="-53"/>
        </w:rPr>
        <w:t xml:space="preserve"> </w:t>
      </w:r>
      <w:r w:rsidR="0006773A">
        <w:rPr>
          <w:spacing w:val="-53"/>
        </w:rPr>
        <w:t xml:space="preserve">  </w:t>
      </w:r>
      <w:r w:rsidR="00DD2607" w:rsidRPr="00126A71">
        <w:t>Underwriter</w:t>
      </w:r>
      <w:r w:rsidR="003A2B1B">
        <w:t>s</w:t>
      </w:r>
      <w:r w:rsidRPr="00126A71">
        <w:t>,</w:t>
      </w:r>
      <w:r w:rsidRPr="00126A71">
        <w:rPr>
          <w:spacing w:val="-2"/>
        </w:rPr>
        <w:t xml:space="preserve"> </w:t>
      </w:r>
      <w:r w:rsidRPr="00126A71">
        <w:t>as</w:t>
      </w:r>
      <w:r w:rsidRPr="00126A71">
        <w:rPr>
          <w:spacing w:val="-1"/>
        </w:rPr>
        <w:t xml:space="preserve"> </w:t>
      </w:r>
      <w:r w:rsidRPr="00126A71">
        <w:t>such</w:t>
      </w:r>
      <w:r w:rsidRPr="00126A71">
        <w:rPr>
          <w:spacing w:val="-1"/>
        </w:rPr>
        <w:t xml:space="preserve"> </w:t>
      </w:r>
      <w:r w:rsidRPr="00126A71">
        <w:t>terms</w:t>
      </w:r>
      <w:r w:rsidRPr="00126A71">
        <w:rPr>
          <w:spacing w:val="-1"/>
        </w:rPr>
        <w:t xml:space="preserve"> </w:t>
      </w:r>
      <w:r w:rsidRPr="00126A71">
        <w:t>are</w:t>
      </w:r>
      <w:r w:rsidRPr="00126A71">
        <w:rPr>
          <w:spacing w:val="-1"/>
        </w:rPr>
        <w:t xml:space="preserve"> </w:t>
      </w:r>
      <w:r w:rsidRPr="00126A71">
        <w:t>defined in</w:t>
      </w:r>
      <w:r w:rsidRPr="00126A71">
        <w:rPr>
          <w:spacing w:val="-1"/>
        </w:rPr>
        <w:t xml:space="preserve"> </w:t>
      </w:r>
      <w:r w:rsidRPr="00126A71">
        <w:t>National</w:t>
      </w:r>
      <w:r w:rsidRPr="00126A71">
        <w:rPr>
          <w:spacing w:val="-3"/>
        </w:rPr>
        <w:t xml:space="preserve"> </w:t>
      </w:r>
      <w:r w:rsidRPr="00126A71">
        <w:t>Instrument 33-105</w:t>
      </w:r>
      <w:r w:rsidRPr="00126A71">
        <w:rPr>
          <w:spacing w:val="-1"/>
        </w:rPr>
        <w:t xml:space="preserve"> </w:t>
      </w:r>
      <w:r w:rsidRPr="00126A71">
        <w:t xml:space="preserve">– </w:t>
      </w:r>
      <w:r w:rsidRPr="00126A71">
        <w:rPr>
          <w:i/>
        </w:rPr>
        <w:t>Underwriting</w:t>
      </w:r>
      <w:r w:rsidRPr="00126A71">
        <w:rPr>
          <w:i/>
          <w:spacing w:val="-1"/>
        </w:rPr>
        <w:t xml:space="preserve"> </w:t>
      </w:r>
      <w:r w:rsidRPr="00126A71">
        <w:rPr>
          <w:i/>
        </w:rPr>
        <w:t>Conflicts</w:t>
      </w:r>
      <w:r w:rsidRPr="00126A71">
        <w:t>.</w:t>
      </w:r>
    </w:p>
    <w:p w14:paraId="7CE8F537" w14:textId="0C7F2CCA" w:rsidR="00DD344E" w:rsidRPr="00126A71" w:rsidRDefault="00DB5121" w:rsidP="00F14234">
      <w:pPr>
        <w:pStyle w:val="Heading1"/>
        <w:keepNext/>
        <w:spacing w:before="1"/>
        <w:ind w:left="0" w:right="1138"/>
      </w:pPr>
      <w:r w:rsidRPr="00126A71">
        <w:t xml:space="preserve">PART 5: </w:t>
      </w:r>
      <w:r w:rsidR="007966A3" w:rsidRPr="00126A71">
        <w:t>PURCHASERS</w:t>
      </w:r>
      <w:r w:rsidR="00FF58F8" w:rsidRPr="00126A71">
        <w:t>’</w:t>
      </w:r>
      <w:r w:rsidR="007966A3" w:rsidRPr="00126A71">
        <w:rPr>
          <w:spacing w:val="-7"/>
        </w:rPr>
        <w:t xml:space="preserve"> </w:t>
      </w:r>
      <w:r w:rsidR="007966A3" w:rsidRPr="00126A71">
        <w:t>RIGHTS</w:t>
      </w:r>
    </w:p>
    <w:p w14:paraId="72BD6BEC" w14:textId="05E5EF05" w:rsidR="00DD344E" w:rsidRDefault="007966A3" w:rsidP="005F4F91">
      <w:pPr>
        <w:keepNext/>
        <w:rPr>
          <w:b/>
        </w:rPr>
      </w:pPr>
      <w:r w:rsidRPr="00126A71">
        <w:rPr>
          <w:b/>
        </w:rPr>
        <w:t>Rights</w:t>
      </w:r>
      <w:r w:rsidRPr="00126A71">
        <w:rPr>
          <w:b/>
          <w:spacing w:val="-3"/>
        </w:rPr>
        <w:t xml:space="preserve"> </w:t>
      </w:r>
      <w:r w:rsidRPr="00126A71">
        <w:rPr>
          <w:b/>
        </w:rPr>
        <w:t>of</w:t>
      </w:r>
      <w:r w:rsidRPr="00126A71">
        <w:rPr>
          <w:b/>
          <w:spacing w:val="-2"/>
        </w:rPr>
        <w:t xml:space="preserve"> </w:t>
      </w:r>
      <w:r w:rsidRPr="00126A71">
        <w:rPr>
          <w:b/>
        </w:rPr>
        <w:t>Action</w:t>
      </w:r>
      <w:r w:rsidRPr="00126A71">
        <w:rPr>
          <w:b/>
          <w:spacing w:val="-1"/>
        </w:rPr>
        <w:t xml:space="preserve"> </w:t>
      </w:r>
      <w:r w:rsidRPr="00126A71">
        <w:rPr>
          <w:b/>
        </w:rPr>
        <w:t>in</w:t>
      </w:r>
      <w:r w:rsidRPr="00126A71">
        <w:rPr>
          <w:b/>
          <w:spacing w:val="-3"/>
        </w:rPr>
        <w:t xml:space="preserve"> </w:t>
      </w:r>
      <w:r w:rsidRPr="00126A71">
        <w:rPr>
          <w:b/>
        </w:rPr>
        <w:t>the</w:t>
      </w:r>
      <w:r w:rsidRPr="00126A71">
        <w:rPr>
          <w:b/>
          <w:spacing w:val="-1"/>
        </w:rPr>
        <w:t xml:space="preserve"> </w:t>
      </w:r>
      <w:r w:rsidRPr="00126A71">
        <w:rPr>
          <w:b/>
        </w:rPr>
        <w:t>Event</w:t>
      </w:r>
      <w:r w:rsidRPr="00126A71">
        <w:rPr>
          <w:b/>
          <w:spacing w:val="-1"/>
        </w:rPr>
        <w:t xml:space="preserve"> </w:t>
      </w:r>
      <w:r w:rsidRPr="00126A71">
        <w:rPr>
          <w:b/>
        </w:rPr>
        <w:t>of</w:t>
      </w:r>
      <w:r w:rsidRPr="00126A71">
        <w:rPr>
          <w:b/>
          <w:spacing w:val="-1"/>
        </w:rPr>
        <w:t xml:space="preserve"> </w:t>
      </w:r>
      <w:r w:rsidRPr="00126A71">
        <w:rPr>
          <w:b/>
        </w:rPr>
        <w:t>a</w:t>
      </w:r>
      <w:r w:rsidRPr="00126A71">
        <w:rPr>
          <w:b/>
          <w:spacing w:val="-2"/>
        </w:rPr>
        <w:t xml:space="preserve"> </w:t>
      </w:r>
      <w:r w:rsidRPr="00126A71">
        <w:rPr>
          <w:b/>
        </w:rPr>
        <w:t>Misrepresentation</w:t>
      </w:r>
    </w:p>
    <w:p w14:paraId="0D1A7F17" w14:textId="77777777" w:rsidR="005F4F91" w:rsidRPr="00126A71" w:rsidRDefault="005F4F91" w:rsidP="00F14234">
      <w:pPr>
        <w:keepNext/>
        <w:rPr>
          <w:b/>
        </w:rPr>
      </w:pPr>
    </w:p>
    <w:p w14:paraId="697FE097" w14:textId="610F37AE" w:rsidR="00DD344E" w:rsidRPr="00126A71" w:rsidRDefault="007966A3" w:rsidP="00F14234">
      <w:pPr>
        <w:pStyle w:val="Heading1"/>
        <w:keepNext/>
        <w:ind w:left="0"/>
      </w:pPr>
      <w:r w:rsidRPr="00126A71">
        <w:t>If</w:t>
      </w:r>
      <w:r w:rsidRPr="00126A71">
        <w:rPr>
          <w:spacing w:val="-2"/>
        </w:rPr>
        <w:t xml:space="preserve"> </w:t>
      </w:r>
      <w:r w:rsidRPr="00126A71">
        <w:t>there</w:t>
      </w:r>
      <w:r w:rsidRPr="00126A71">
        <w:rPr>
          <w:spacing w:val="-2"/>
        </w:rPr>
        <w:t xml:space="preserve"> </w:t>
      </w:r>
      <w:r w:rsidRPr="00126A71">
        <w:t>is</w:t>
      </w:r>
      <w:r w:rsidRPr="00126A71">
        <w:rPr>
          <w:spacing w:val="-2"/>
        </w:rPr>
        <w:t xml:space="preserve"> </w:t>
      </w:r>
      <w:r w:rsidRPr="00126A71">
        <w:t>a</w:t>
      </w:r>
      <w:r w:rsidRPr="00126A71">
        <w:rPr>
          <w:spacing w:val="-3"/>
        </w:rPr>
        <w:t xml:space="preserve"> </w:t>
      </w:r>
      <w:r w:rsidRPr="00126A71">
        <w:t>misrepresentation</w:t>
      </w:r>
      <w:r w:rsidRPr="00126A71">
        <w:rPr>
          <w:spacing w:val="-1"/>
        </w:rPr>
        <w:t xml:space="preserve"> </w:t>
      </w:r>
      <w:r w:rsidRPr="00126A71">
        <w:t>in</w:t>
      </w:r>
      <w:r w:rsidRPr="00126A71">
        <w:rPr>
          <w:spacing w:val="-2"/>
        </w:rPr>
        <w:t xml:space="preserve"> </w:t>
      </w:r>
      <w:r w:rsidRPr="00126A71">
        <w:t>this</w:t>
      </w:r>
      <w:r w:rsidRPr="00126A71">
        <w:rPr>
          <w:spacing w:val="-2"/>
        </w:rPr>
        <w:t xml:space="preserve"> </w:t>
      </w:r>
      <w:r w:rsidRPr="00126A71">
        <w:t>offering</w:t>
      </w:r>
      <w:r w:rsidRPr="00126A71">
        <w:rPr>
          <w:spacing w:val="-2"/>
        </w:rPr>
        <w:t xml:space="preserve"> </w:t>
      </w:r>
      <w:r w:rsidRPr="00126A71">
        <w:t>document,</w:t>
      </w:r>
      <w:r w:rsidRPr="00126A71">
        <w:rPr>
          <w:spacing w:val="-2"/>
        </w:rPr>
        <w:t xml:space="preserve"> </w:t>
      </w:r>
      <w:r w:rsidRPr="00126A71">
        <w:t>you</w:t>
      </w:r>
      <w:r w:rsidRPr="00126A71">
        <w:rPr>
          <w:spacing w:val="-1"/>
        </w:rPr>
        <w:t xml:space="preserve"> </w:t>
      </w:r>
      <w:r w:rsidRPr="00126A71">
        <w:t>have</w:t>
      </w:r>
      <w:r w:rsidRPr="00126A71">
        <w:rPr>
          <w:spacing w:val="-3"/>
        </w:rPr>
        <w:t xml:space="preserve"> </w:t>
      </w:r>
      <w:r w:rsidRPr="00126A71">
        <w:t>a right</w:t>
      </w:r>
    </w:p>
    <w:p w14:paraId="1C1B2BBD" w14:textId="10AD07B7" w:rsidR="00DD344E" w:rsidRPr="00126A71" w:rsidRDefault="007966A3" w:rsidP="00126A71">
      <w:pPr>
        <w:pStyle w:val="ListParagraph"/>
        <w:keepNext/>
        <w:numPr>
          <w:ilvl w:val="0"/>
          <w:numId w:val="3"/>
        </w:numPr>
        <w:tabs>
          <w:tab w:val="left" w:pos="1640"/>
          <w:tab w:val="left" w:pos="1641"/>
        </w:tabs>
        <w:spacing w:after="240"/>
        <w:ind w:right="0" w:hanging="721"/>
        <w:rPr>
          <w:b/>
        </w:rPr>
      </w:pPr>
      <w:r w:rsidRPr="00126A71">
        <w:rPr>
          <w:b/>
        </w:rPr>
        <w:t>to</w:t>
      </w:r>
      <w:r w:rsidRPr="00126A71">
        <w:rPr>
          <w:b/>
          <w:spacing w:val="-2"/>
        </w:rPr>
        <w:t xml:space="preserve"> </w:t>
      </w:r>
      <w:r w:rsidRPr="00126A71">
        <w:rPr>
          <w:b/>
        </w:rPr>
        <w:t>rescind your</w:t>
      </w:r>
      <w:r w:rsidRPr="00126A71">
        <w:rPr>
          <w:b/>
          <w:spacing w:val="-3"/>
        </w:rPr>
        <w:t xml:space="preserve"> </w:t>
      </w:r>
      <w:r w:rsidRPr="00126A71">
        <w:rPr>
          <w:b/>
        </w:rPr>
        <w:t>purchase</w:t>
      </w:r>
      <w:r w:rsidRPr="00126A71">
        <w:rPr>
          <w:b/>
          <w:spacing w:val="-1"/>
        </w:rPr>
        <w:t xml:space="preserve"> </w:t>
      </w:r>
      <w:r w:rsidRPr="00126A71">
        <w:rPr>
          <w:b/>
        </w:rPr>
        <w:t>of</w:t>
      </w:r>
      <w:r w:rsidRPr="00126A71">
        <w:rPr>
          <w:b/>
          <w:spacing w:val="-1"/>
        </w:rPr>
        <w:t xml:space="preserve"> </w:t>
      </w:r>
      <w:r w:rsidRPr="00126A71">
        <w:rPr>
          <w:b/>
        </w:rPr>
        <w:t>these</w:t>
      </w:r>
      <w:r w:rsidRPr="00126A71">
        <w:rPr>
          <w:b/>
          <w:spacing w:val="-3"/>
        </w:rPr>
        <w:t xml:space="preserve"> </w:t>
      </w:r>
      <w:r w:rsidRPr="00126A71">
        <w:rPr>
          <w:b/>
        </w:rPr>
        <w:t>securities</w:t>
      </w:r>
      <w:r w:rsidRPr="00126A71">
        <w:rPr>
          <w:b/>
          <w:spacing w:val="-3"/>
        </w:rPr>
        <w:t xml:space="preserve"> </w:t>
      </w:r>
      <w:r w:rsidRPr="00126A71">
        <w:rPr>
          <w:b/>
        </w:rPr>
        <w:t>with</w:t>
      </w:r>
      <w:r w:rsidRPr="00126A71">
        <w:rPr>
          <w:b/>
          <w:spacing w:val="-2"/>
        </w:rPr>
        <w:t xml:space="preserve"> </w:t>
      </w:r>
      <w:r w:rsidRPr="00126A71">
        <w:rPr>
          <w:b/>
        </w:rPr>
        <w:t>the</w:t>
      </w:r>
      <w:r w:rsidRPr="00126A71">
        <w:rPr>
          <w:b/>
          <w:spacing w:val="-3"/>
        </w:rPr>
        <w:t xml:space="preserve"> </w:t>
      </w:r>
      <w:r w:rsidRPr="00126A71">
        <w:rPr>
          <w:b/>
        </w:rPr>
        <w:t>Company, or</w:t>
      </w:r>
    </w:p>
    <w:p w14:paraId="48523A76" w14:textId="663EC717" w:rsidR="00DD344E" w:rsidRPr="00126A71" w:rsidRDefault="007966A3" w:rsidP="004A6BF9">
      <w:pPr>
        <w:pStyle w:val="Heading1"/>
        <w:numPr>
          <w:ilvl w:val="0"/>
          <w:numId w:val="3"/>
        </w:numPr>
        <w:tabs>
          <w:tab w:val="left" w:pos="1640"/>
          <w:tab w:val="left" w:pos="1641"/>
        </w:tabs>
        <w:spacing w:line="276" w:lineRule="auto"/>
        <w:ind w:right="202"/>
      </w:pPr>
      <w:r w:rsidRPr="00126A71">
        <w:t>to</w:t>
      </w:r>
      <w:r w:rsidRPr="00126A71">
        <w:rPr>
          <w:spacing w:val="-5"/>
        </w:rPr>
        <w:t xml:space="preserve"> </w:t>
      </w:r>
      <w:r w:rsidRPr="00126A71">
        <w:t>damages</w:t>
      </w:r>
      <w:r w:rsidRPr="00126A71">
        <w:rPr>
          <w:spacing w:val="-3"/>
        </w:rPr>
        <w:t xml:space="preserve"> </w:t>
      </w:r>
      <w:r w:rsidRPr="00126A71">
        <w:t>against</w:t>
      </w:r>
      <w:r w:rsidRPr="00126A71">
        <w:rPr>
          <w:spacing w:val="-3"/>
        </w:rPr>
        <w:t xml:space="preserve"> </w:t>
      </w:r>
      <w:r w:rsidRPr="00126A71">
        <w:t>the</w:t>
      </w:r>
      <w:r w:rsidRPr="00126A71">
        <w:rPr>
          <w:spacing w:val="-3"/>
        </w:rPr>
        <w:t xml:space="preserve"> </w:t>
      </w:r>
      <w:r w:rsidRPr="00126A71">
        <w:t>Company</w:t>
      </w:r>
      <w:r w:rsidRPr="00126A71">
        <w:rPr>
          <w:spacing w:val="-5"/>
        </w:rPr>
        <w:t xml:space="preserve"> </w:t>
      </w:r>
      <w:r w:rsidRPr="00126A71">
        <w:t>and</w:t>
      </w:r>
      <w:r w:rsidRPr="00126A71">
        <w:rPr>
          <w:spacing w:val="-3"/>
        </w:rPr>
        <w:t xml:space="preserve"> </w:t>
      </w:r>
      <w:r w:rsidRPr="00126A71">
        <w:t>may,</w:t>
      </w:r>
      <w:r w:rsidRPr="00126A71">
        <w:rPr>
          <w:spacing w:val="-3"/>
        </w:rPr>
        <w:t xml:space="preserve"> </w:t>
      </w:r>
      <w:r w:rsidRPr="00126A71">
        <w:t>in</w:t>
      </w:r>
      <w:r w:rsidRPr="00126A71">
        <w:rPr>
          <w:spacing w:val="-5"/>
        </w:rPr>
        <w:t xml:space="preserve"> </w:t>
      </w:r>
      <w:r w:rsidRPr="00126A71">
        <w:t>certain</w:t>
      </w:r>
      <w:r w:rsidRPr="00126A71">
        <w:rPr>
          <w:spacing w:val="-4"/>
        </w:rPr>
        <w:t xml:space="preserve"> </w:t>
      </w:r>
      <w:r w:rsidRPr="00126A71">
        <w:t>jurisdictions,</w:t>
      </w:r>
      <w:r w:rsidRPr="00126A71">
        <w:rPr>
          <w:spacing w:val="-6"/>
        </w:rPr>
        <w:t xml:space="preserve"> </w:t>
      </w:r>
      <w:r w:rsidRPr="00126A71">
        <w:t>have</w:t>
      </w:r>
      <w:r w:rsidRPr="00126A71">
        <w:rPr>
          <w:spacing w:val="-2"/>
        </w:rPr>
        <w:t xml:space="preserve"> </w:t>
      </w:r>
      <w:r w:rsidRPr="00126A71">
        <w:t>a</w:t>
      </w:r>
      <w:r w:rsidRPr="00126A71">
        <w:rPr>
          <w:spacing w:val="-6"/>
        </w:rPr>
        <w:t xml:space="preserve"> </w:t>
      </w:r>
      <w:r w:rsidRPr="00126A71">
        <w:t>statutory</w:t>
      </w:r>
      <w:r w:rsidRPr="00126A71">
        <w:rPr>
          <w:spacing w:val="-53"/>
        </w:rPr>
        <w:t xml:space="preserve"> </w:t>
      </w:r>
      <w:r w:rsidRPr="00126A71">
        <w:t>right</w:t>
      </w:r>
      <w:r w:rsidRPr="00126A71">
        <w:rPr>
          <w:spacing w:val="-1"/>
        </w:rPr>
        <w:t xml:space="preserve"> </w:t>
      </w:r>
      <w:r w:rsidRPr="00126A71">
        <w:t>to damages</w:t>
      </w:r>
      <w:r w:rsidRPr="00126A71">
        <w:rPr>
          <w:spacing w:val="1"/>
        </w:rPr>
        <w:t xml:space="preserve"> </w:t>
      </w:r>
      <w:r w:rsidRPr="00126A71">
        <w:t>from</w:t>
      </w:r>
      <w:r w:rsidRPr="00126A71">
        <w:rPr>
          <w:spacing w:val="-1"/>
        </w:rPr>
        <w:t xml:space="preserve"> </w:t>
      </w:r>
      <w:r w:rsidRPr="00126A71">
        <w:t>other</w:t>
      </w:r>
      <w:r w:rsidRPr="00126A71">
        <w:rPr>
          <w:spacing w:val="-2"/>
        </w:rPr>
        <w:t xml:space="preserve"> </w:t>
      </w:r>
      <w:r w:rsidRPr="00126A71">
        <w:t>persons.</w:t>
      </w:r>
    </w:p>
    <w:p w14:paraId="3ED41A51" w14:textId="1F614C86" w:rsidR="00DD344E" w:rsidRPr="00126A71" w:rsidRDefault="007966A3" w:rsidP="005F4F91">
      <w:pPr>
        <w:spacing w:after="240" w:line="276" w:lineRule="auto"/>
        <w:ind w:left="142" w:right="205"/>
        <w:jc w:val="both"/>
        <w:rPr>
          <w:b/>
        </w:rPr>
      </w:pPr>
      <w:r w:rsidRPr="00126A71">
        <w:rPr>
          <w:b/>
        </w:rPr>
        <w:t>These rights are available to you whether or not you relied on the misrepresentation. However, there</w:t>
      </w:r>
      <w:r w:rsidRPr="00126A71">
        <w:rPr>
          <w:b/>
          <w:spacing w:val="1"/>
        </w:rPr>
        <w:t xml:space="preserve"> </w:t>
      </w:r>
      <w:r w:rsidRPr="00126A71">
        <w:rPr>
          <w:b/>
        </w:rPr>
        <w:t>are various circumstances that limit your rights. In particular, your rights might be limited if you</w:t>
      </w:r>
      <w:r w:rsidRPr="00126A71">
        <w:rPr>
          <w:b/>
          <w:spacing w:val="1"/>
        </w:rPr>
        <w:t xml:space="preserve"> </w:t>
      </w:r>
      <w:r w:rsidRPr="00126A71">
        <w:rPr>
          <w:b/>
        </w:rPr>
        <w:t>knew</w:t>
      </w:r>
      <w:r w:rsidRPr="00126A71">
        <w:rPr>
          <w:b/>
          <w:spacing w:val="-1"/>
        </w:rPr>
        <w:t xml:space="preserve"> </w:t>
      </w:r>
      <w:r w:rsidRPr="00126A71">
        <w:rPr>
          <w:b/>
        </w:rPr>
        <w:t>of</w:t>
      </w:r>
      <w:r w:rsidRPr="00126A71">
        <w:rPr>
          <w:b/>
          <w:spacing w:val="1"/>
        </w:rPr>
        <w:t xml:space="preserve"> </w:t>
      </w:r>
      <w:r w:rsidRPr="00126A71">
        <w:rPr>
          <w:b/>
        </w:rPr>
        <w:t>the</w:t>
      </w:r>
      <w:r w:rsidRPr="00126A71">
        <w:rPr>
          <w:b/>
          <w:spacing w:val="-1"/>
        </w:rPr>
        <w:t xml:space="preserve"> </w:t>
      </w:r>
      <w:r w:rsidRPr="00126A71">
        <w:rPr>
          <w:b/>
        </w:rPr>
        <w:t>misrepresentation</w:t>
      </w:r>
      <w:r w:rsidRPr="00126A71">
        <w:rPr>
          <w:b/>
          <w:spacing w:val="-1"/>
        </w:rPr>
        <w:t xml:space="preserve"> </w:t>
      </w:r>
      <w:r w:rsidRPr="00126A71">
        <w:rPr>
          <w:b/>
        </w:rPr>
        <w:t>when</w:t>
      </w:r>
      <w:r w:rsidRPr="00126A71">
        <w:rPr>
          <w:b/>
          <w:spacing w:val="-1"/>
        </w:rPr>
        <w:t xml:space="preserve"> </w:t>
      </w:r>
      <w:r w:rsidRPr="00126A71">
        <w:rPr>
          <w:b/>
        </w:rPr>
        <w:t>you purchased</w:t>
      </w:r>
      <w:r w:rsidRPr="00126A71">
        <w:rPr>
          <w:b/>
          <w:spacing w:val="-1"/>
        </w:rPr>
        <w:t xml:space="preserve"> </w:t>
      </w:r>
      <w:r w:rsidRPr="00126A71">
        <w:rPr>
          <w:b/>
        </w:rPr>
        <w:t>the</w:t>
      </w:r>
      <w:r w:rsidRPr="00126A71">
        <w:rPr>
          <w:b/>
          <w:spacing w:val="-1"/>
        </w:rPr>
        <w:t xml:space="preserve"> </w:t>
      </w:r>
      <w:r w:rsidRPr="00126A71">
        <w:rPr>
          <w:b/>
        </w:rPr>
        <w:t>securities.</w:t>
      </w:r>
    </w:p>
    <w:p w14:paraId="7A76353E" w14:textId="5132A7EF" w:rsidR="00DD344E" w:rsidRPr="00126A71" w:rsidRDefault="007966A3" w:rsidP="00B721FF">
      <w:pPr>
        <w:pStyle w:val="Heading1"/>
        <w:widowControl/>
        <w:spacing w:line="276" w:lineRule="auto"/>
        <w:ind w:left="144" w:right="202"/>
        <w:jc w:val="both"/>
      </w:pPr>
      <w:r w:rsidRPr="00126A71">
        <w:t>If you intend to rely on the rights described in paragraph (a) or (b) above, you must do so within</w:t>
      </w:r>
      <w:r w:rsidRPr="00126A71">
        <w:rPr>
          <w:spacing w:val="1"/>
        </w:rPr>
        <w:t xml:space="preserve"> </w:t>
      </w:r>
      <w:r w:rsidRPr="00126A71">
        <w:t>strict</w:t>
      </w:r>
      <w:r w:rsidRPr="00126A71">
        <w:rPr>
          <w:spacing w:val="-1"/>
        </w:rPr>
        <w:t xml:space="preserve"> </w:t>
      </w:r>
      <w:r w:rsidRPr="00126A71">
        <w:t>time</w:t>
      </w:r>
      <w:r w:rsidRPr="00126A71">
        <w:rPr>
          <w:spacing w:val="1"/>
        </w:rPr>
        <w:t xml:space="preserve"> </w:t>
      </w:r>
      <w:r w:rsidRPr="00126A71">
        <w:t>limitations.</w:t>
      </w:r>
    </w:p>
    <w:p w14:paraId="377ED848" w14:textId="2F2D60B1" w:rsidR="00DD344E" w:rsidRPr="00126A71" w:rsidRDefault="007966A3" w:rsidP="005F4F91">
      <w:pPr>
        <w:widowControl/>
        <w:spacing w:after="240" w:line="276" w:lineRule="auto"/>
        <w:ind w:left="142" w:right="202"/>
        <w:jc w:val="both"/>
        <w:rPr>
          <w:b/>
        </w:rPr>
      </w:pPr>
      <w:r w:rsidRPr="00126A71">
        <w:rPr>
          <w:b/>
        </w:rPr>
        <w:t>You should refer to any applicable provisions of the securities legislation of your province or</w:t>
      </w:r>
      <w:r w:rsidRPr="00126A71">
        <w:rPr>
          <w:b/>
          <w:spacing w:val="1"/>
        </w:rPr>
        <w:t xml:space="preserve"> </w:t>
      </w:r>
      <w:r w:rsidRPr="00126A71">
        <w:rPr>
          <w:b/>
        </w:rPr>
        <w:t>territory</w:t>
      </w:r>
      <w:r w:rsidRPr="00126A71">
        <w:rPr>
          <w:b/>
          <w:spacing w:val="-2"/>
        </w:rPr>
        <w:t xml:space="preserve"> </w:t>
      </w:r>
      <w:r w:rsidRPr="00126A71">
        <w:rPr>
          <w:b/>
        </w:rPr>
        <w:t>for</w:t>
      </w:r>
      <w:r w:rsidRPr="00126A71">
        <w:rPr>
          <w:b/>
          <w:spacing w:val="-1"/>
        </w:rPr>
        <w:t xml:space="preserve"> </w:t>
      </w:r>
      <w:r w:rsidRPr="00126A71">
        <w:rPr>
          <w:b/>
        </w:rPr>
        <w:t>the</w:t>
      </w:r>
      <w:r w:rsidRPr="00126A71">
        <w:rPr>
          <w:b/>
          <w:spacing w:val="-2"/>
        </w:rPr>
        <w:t xml:space="preserve"> </w:t>
      </w:r>
      <w:r w:rsidRPr="00126A71">
        <w:rPr>
          <w:b/>
        </w:rPr>
        <w:t>particulars</w:t>
      </w:r>
      <w:r w:rsidRPr="00126A71">
        <w:rPr>
          <w:b/>
          <w:spacing w:val="-1"/>
        </w:rPr>
        <w:t xml:space="preserve"> </w:t>
      </w:r>
      <w:r w:rsidRPr="00126A71">
        <w:rPr>
          <w:b/>
        </w:rPr>
        <w:t>of these rights</w:t>
      </w:r>
      <w:r w:rsidRPr="00126A71">
        <w:rPr>
          <w:b/>
          <w:spacing w:val="-1"/>
        </w:rPr>
        <w:t xml:space="preserve"> </w:t>
      </w:r>
      <w:r w:rsidRPr="00126A71">
        <w:rPr>
          <w:b/>
        </w:rPr>
        <w:t>or consult with a</w:t>
      </w:r>
      <w:r w:rsidRPr="00126A71">
        <w:rPr>
          <w:b/>
          <w:spacing w:val="-2"/>
        </w:rPr>
        <w:t xml:space="preserve"> </w:t>
      </w:r>
      <w:r w:rsidRPr="00126A71">
        <w:rPr>
          <w:b/>
        </w:rPr>
        <w:t>legal</w:t>
      </w:r>
      <w:r w:rsidRPr="00126A71">
        <w:rPr>
          <w:b/>
          <w:spacing w:val="1"/>
        </w:rPr>
        <w:t xml:space="preserve"> </w:t>
      </w:r>
      <w:r w:rsidRPr="00126A71">
        <w:rPr>
          <w:b/>
        </w:rPr>
        <w:t>adviser.</w:t>
      </w:r>
    </w:p>
    <w:p w14:paraId="547DFDA5" w14:textId="37D10963" w:rsidR="00DD344E" w:rsidRPr="00126A71" w:rsidRDefault="00DB5121" w:rsidP="00F14234">
      <w:pPr>
        <w:pStyle w:val="Heading1"/>
        <w:keepNext/>
        <w:widowControl/>
        <w:ind w:left="0" w:right="1138"/>
      </w:pPr>
      <w:r w:rsidRPr="00126A71">
        <w:t xml:space="preserve">PART 6: </w:t>
      </w:r>
      <w:r w:rsidR="007966A3" w:rsidRPr="00126A71">
        <w:t>ADDITIONAL</w:t>
      </w:r>
      <w:r w:rsidR="007966A3" w:rsidRPr="00126A71">
        <w:rPr>
          <w:spacing w:val="-3"/>
        </w:rPr>
        <w:t xml:space="preserve"> </w:t>
      </w:r>
      <w:r w:rsidR="007966A3" w:rsidRPr="00126A71">
        <w:t>INFORMATION</w:t>
      </w:r>
    </w:p>
    <w:p w14:paraId="375C7A6A" w14:textId="314753DF" w:rsidR="00A252DE" w:rsidRPr="00126A71" w:rsidRDefault="007966A3" w:rsidP="00F14234">
      <w:pPr>
        <w:keepNext/>
        <w:widowControl/>
        <w:spacing w:after="240"/>
        <w:jc w:val="both"/>
        <w:rPr>
          <w:b/>
        </w:rPr>
      </w:pPr>
      <w:r w:rsidRPr="00126A71">
        <w:rPr>
          <w:b/>
        </w:rPr>
        <w:t>Where</w:t>
      </w:r>
      <w:r w:rsidRPr="00126A71">
        <w:rPr>
          <w:b/>
          <w:spacing w:val="-3"/>
        </w:rPr>
        <w:t xml:space="preserve"> </w:t>
      </w:r>
      <w:r w:rsidRPr="00126A71">
        <w:rPr>
          <w:b/>
        </w:rPr>
        <w:t>can</w:t>
      </w:r>
      <w:r w:rsidRPr="00126A71">
        <w:rPr>
          <w:b/>
          <w:spacing w:val="-3"/>
        </w:rPr>
        <w:t xml:space="preserve"> </w:t>
      </w:r>
      <w:r w:rsidRPr="00126A71">
        <w:rPr>
          <w:b/>
        </w:rPr>
        <w:t>you</w:t>
      </w:r>
      <w:r w:rsidRPr="00126A71">
        <w:rPr>
          <w:b/>
          <w:spacing w:val="-2"/>
        </w:rPr>
        <w:t xml:space="preserve"> </w:t>
      </w:r>
      <w:r w:rsidRPr="00126A71">
        <w:rPr>
          <w:b/>
        </w:rPr>
        <w:t>find</w:t>
      </w:r>
      <w:r w:rsidRPr="00126A71">
        <w:rPr>
          <w:b/>
          <w:spacing w:val="-2"/>
        </w:rPr>
        <w:t xml:space="preserve"> </w:t>
      </w:r>
      <w:r w:rsidRPr="00126A71">
        <w:rPr>
          <w:b/>
        </w:rPr>
        <w:t>more information</w:t>
      </w:r>
      <w:r w:rsidRPr="00126A71">
        <w:rPr>
          <w:b/>
          <w:spacing w:val="-2"/>
        </w:rPr>
        <w:t xml:space="preserve"> </w:t>
      </w:r>
      <w:r w:rsidRPr="00126A71">
        <w:rPr>
          <w:b/>
        </w:rPr>
        <w:t>about</w:t>
      </w:r>
      <w:r w:rsidRPr="00126A71">
        <w:rPr>
          <w:b/>
          <w:spacing w:val="-2"/>
        </w:rPr>
        <w:t xml:space="preserve"> </w:t>
      </w:r>
      <w:r w:rsidRPr="00126A71">
        <w:rPr>
          <w:b/>
        </w:rPr>
        <w:t>us?</w:t>
      </w:r>
    </w:p>
    <w:p w14:paraId="7B3BFF3E" w14:textId="69F49A6B" w:rsidR="00DD344E" w:rsidRPr="00126A71" w:rsidRDefault="00C31472" w:rsidP="00F14234">
      <w:pPr>
        <w:pStyle w:val="BodyText"/>
        <w:jc w:val="both"/>
      </w:pPr>
      <w:r>
        <w:t xml:space="preserve">A security holder can access </w:t>
      </w:r>
      <w:r w:rsidR="00667F94">
        <w:t>Fortune Bay</w:t>
      </w:r>
      <w:r w:rsidR="00A252DE" w:rsidRPr="00126A71">
        <w:t xml:space="preserve">’s complete record of legally mandated public filings, including </w:t>
      </w:r>
      <w:r w:rsidR="00667F94">
        <w:t>Fortune Bay</w:t>
      </w:r>
      <w:r w:rsidR="00A252DE" w:rsidRPr="00126A71">
        <w:t xml:space="preserve">’s continuous disclosure documents, under the Company’s profile at www.sedarplus.ca. </w:t>
      </w:r>
      <w:r w:rsidR="00667F94">
        <w:t>Fortune Bay</w:t>
      </w:r>
      <w:r w:rsidR="00A252DE" w:rsidRPr="00126A71">
        <w:t xml:space="preserve">’s website is located at </w:t>
      </w:r>
      <w:r w:rsidR="00A252DE" w:rsidRPr="00126A71">
        <w:rPr>
          <w:u w:val="single"/>
        </w:rPr>
        <w:t>https://www.</w:t>
      </w:r>
      <w:r w:rsidR="00224709">
        <w:rPr>
          <w:u w:val="single"/>
        </w:rPr>
        <w:t>fortunebaycorp</w:t>
      </w:r>
      <w:r w:rsidR="00A252DE" w:rsidRPr="00126A71">
        <w:rPr>
          <w:u w:val="single"/>
        </w:rPr>
        <w:t>.com/.</w:t>
      </w:r>
      <w:r w:rsidR="00A252DE" w:rsidRPr="00126A71">
        <w:t xml:space="preserve"> Information regarding </w:t>
      </w:r>
      <w:r w:rsidR="00667F94">
        <w:t>Fortune Bay</w:t>
      </w:r>
      <w:r w:rsidR="00A252DE" w:rsidRPr="00126A71">
        <w:t xml:space="preserve"> located on its website is not incorporated into this offering document.</w:t>
      </w:r>
    </w:p>
    <w:p w14:paraId="47BBD7C6" w14:textId="42A1C429" w:rsidR="00E90FBA" w:rsidRPr="00126A71" w:rsidRDefault="007966A3" w:rsidP="007827D1">
      <w:pPr>
        <w:spacing w:line="276" w:lineRule="auto"/>
        <w:ind w:right="40"/>
        <w:jc w:val="both"/>
        <w:rPr>
          <w:b/>
          <w:i/>
        </w:rPr>
      </w:pPr>
      <w:r w:rsidRPr="00126A71">
        <w:rPr>
          <w:b/>
          <w:i/>
        </w:rPr>
        <w:t>Investors should</w:t>
      </w:r>
      <w:r w:rsidRPr="00126A71">
        <w:rPr>
          <w:b/>
          <w:i/>
          <w:spacing w:val="1"/>
        </w:rPr>
        <w:t xml:space="preserve"> </w:t>
      </w:r>
      <w:r w:rsidRPr="00126A71">
        <w:rPr>
          <w:b/>
          <w:i/>
        </w:rPr>
        <w:t>read this offering document and</w:t>
      </w:r>
      <w:r w:rsidRPr="00126A71">
        <w:rPr>
          <w:b/>
          <w:i/>
          <w:spacing w:val="50"/>
        </w:rPr>
        <w:t xml:space="preserve"> </w:t>
      </w:r>
      <w:r w:rsidRPr="00126A71">
        <w:rPr>
          <w:b/>
          <w:i/>
        </w:rPr>
        <w:t>consult their own professional advisors to assess</w:t>
      </w:r>
      <w:r w:rsidRPr="00126A71">
        <w:rPr>
          <w:b/>
          <w:i/>
          <w:spacing w:val="1"/>
        </w:rPr>
        <w:t xml:space="preserve"> </w:t>
      </w:r>
      <w:r w:rsidRPr="00126A71">
        <w:rPr>
          <w:b/>
          <w:i/>
        </w:rPr>
        <w:t>the</w:t>
      </w:r>
      <w:r w:rsidRPr="00126A71">
        <w:rPr>
          <w:b/>
          <w:i/>
          <w:spacing w:val="-2"/>
        </w:rPr>
        <w:t xml:space="preserve"> </w:t>
      </w:r>
      <w:r w:rsidRPr="00126A71">
        <w:rPr>
          <w:b/>
          <w:i/>
        </w:rPr>
        <w:t>income</w:t>
      </w:r>
      <w:r w:rsidRPr="00126A71">
        <w:rPr>
          <w:b/>
          <w:i/>
          <w:spacing w:val="-1"/>
        </w:rPr>
        <w:t xml:space="preserve"> </w:t>
      </w:r>
      <w:r w:rsidRPr="00126A71">
        <w:rPr>
          <w:b/>
          <w:i/>
        </w:rPr>
        <w:t>tax,</w:t>
      </w:r>
      <w:r w:rsidRPr="00126A71">
        <w:rPr>
          <w:b/>
          <w:i/>
          <w:spacing w:val="-2"/>
        </w:rPr>
        <w:t xml:space="preserve"> </w:t>
      </w:r>
      <w:r w:rsidRPr="00126A71">
        <w:rPr>
          <w:b/>
          <w:i/>
        </w:rPr>
        <w:t>legal,</w:t>
      </w:r>
      <w:r w:rsidRPr="00126A71">
        <w:rPr>
          <w:b/>
          <w:i/>
          <w:spacing w:val="1"/>
        </w:rPr>
        <w:t xml:space="preserve"> </w:t>
      </w:r>
      <w:r w:rsidRPr="00126A71">
        <w:rPr>
          <w:b/>
          <w:i/>
        </w:rPr>
        <w:t>risk factors</w:t>
      </w:r>
      <w:r w:rsidRPr="00126A71">
        <w:rPr>
          <w:b/>
          <w:i/>
          <w:spacing w:val="1"/>
        </w:rPr>
        <w:t xml:space="preserve"> </w:t>
      </w:r>
      <w:r w:rsidRPr="00126A71">
        <w:rPr>
          <w:b/>
          <w:i/>
        </w:rPr>
        <w:t>and</w:t>
      </w:r>
      <w:r w:rsidRPr="00126A71">
        <w:rPr>
          <w:b/>
          <w:i/>
          <w:spacing w:val="-1"/>
        </w:rPr>
        <w:t xml:space="preserve"> </w:t>
      </w:r>
      <w:r w:rsidRPr="00126A71">
        <w:rPr>
          <w:b/>
          <w:i/>
        </w:rPr>
        <w:t>other</w:t>
      </w:r>
      <w:r w:rsidRPr="00126A71">
        <w:rPr>
          <w:b/>
          <w:i/>
          <w:spacing w:val="-2"/>
        </w:rPr>
        <w:t xml:space="preserve"> </w:t>
      </w:r>
      <w:r w:rsidRPr="00126A71">
        <w:rPr>
          <w:b/>
          <w:i/>
        </w:rPr>
        <w:t>aspects</w:t>
      </w:r>
      <w:r w:rsidRPr="00126A71">
        <w:rPr>
          <w:b/>
          <w:i/>
          <w:spacing w:val="-1"/>
        </w:rPr>
        <w:t xml:space="preserve"> </w:t>
      </w:r>
      <w:r w:rsidRPr="00126A71">
        <w:rPr>
          <w:b/>
          <w:i/>
        </w:rPr>
        <w:t>of</w:t>
      </w:r>
      <w:r w:rsidRPr="00126A71">
        <w:rPr>
          <w:b/>
          <w:i/>
          <w:spacing w:val="-1"/>
        </w:rPr>
        <w:t xml:space="preserve"> </w:t>
      </w:r>
      <w:r w:rsidRPr="00126A71">
        <w:rPr>
          <w:b/>
          <w:i/>
        </w:rPr>
        <w:t>their</w:t>
      </w:r>
      <w:r w:rsidRPr="00126A71">
        <w:rPr>
          <w:b/>
          <w:i/>
          <w:spacing w:val="-2"/>
        </w:rPr>
        <w:t xml:space="preserve"> </w:t>
      </w:r>
      <w:r w:rsidRPr="00126A71">
        <w:rPr>
          <w:b/>
          <w:i/>
        </w:rPr>
        <w:t>investment</w:t>
      </w:r>
      <w:r w:rsidRPr="00126A71">
        <w:rPr>
          <w:b/>
          <w:i/>
          <w:spacing w:val="-1"/>
        </w:rPr>
        <w:t xml:space="preserve"> </w:t>
      </w:r>
      <w:r w:rsidRPr="00126A71">
        <w:rPr>
          <w:b/>
          <w:i/>
        </w:rPr>
        <w:t>of</w:t>
      </w:r>
      <w:r w:rsidRPr="00126A71">
        <w:rPr>
          <w:b/>
          <w:i/>
          <w:spacing w:val="1"/>
        </w:rPr>
        <w:t xml:space="preserve"> </w:t>
      </w:r>
      <w:r w:rsidR="00B921B3" w:rsidRPr="00126A71">
        <w:rPr>
          <w:b/>
          <w:i/>
        </w:rPr>
        <w:t>Offered</w:t>
      </w:r>
      <w:r w:rsidR="00F254F7" w:rsidRPr="00126A71">
        <w:rPr>
          <w:b/>
          <w:i/>
        </w:rPr>
        <w:t xml:space="preserve"> Shares</w:t>
      </w:r>
      <w:r w:rsidRPr="00126A71">
        <w:rPr>
          <w:b/>
          <w:i/>
        </w:rPr>
        <w:t>.</w:t>
      </w:r>
    </w:p>
    <w:p w14:paraId="0C51904A" w14:textId="77777777" w:rsidR="00431C00" w:rsidRPr="00126A71" w:rsidRDefault="00431C00" w:rsidP="00E90FBA">
      <w:pPr>
        <w:spacing w:line="276" w:lineRule="auto"/>
        <w:ind w:left="200" w:right="207"/>
        <w:jc w:val="both"/>
        <w:rPr>
          <w:b/>
          <w:i/>
        </w:rPr>
      </w:pPr>
    </w:p>
    <w:p w14:paraId="301913B1" w14:textId="77777777" w:rsidR="00431C00" w:rsidRPr="00126A71" w:rsidRDefault="00431C00" w:rsidP="00E90FBA">
      <w:pPr>
        <w:spacing w:line="276" w:lineRule="auto"/>
        <w:ind w:left="200" w:right="207"/>
        <w:jc w:val="both"/>
        <w:rPr>
          <w:b/>
          <w:i/>
        </w:rPr>
        <w:sectPr w:rsidR="00431C00" w:rsidRPr="00126A71" w:rsidSect="00FF576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240" w:bottom="900" w:left="1240" w:header="720" w:footer="620" w:gutter="0"/>
          <w:cols w:space="720"/>
          <w:titlePg/>
          <w:docGrid w:linePitch="272"/>
        </w:sectPr>
      </w:pPr>
    </w:p>
    <w:p w14:paraId="42295AD7" w14:textId="6B5081D9" w:rsidR="00DD344E" w:rsidRPr="00126A71" w:rsidRDefault="00DB5121" w:rsidP="005F4F91">
      <w:pPr>
        <w:spacing w:after="240" w:line="276" w:lineRule="auto"/>
        <w:ind w:right="207"/>
        <w:rPr>
          <w:b/>
        </w:rPr>
      </w:pPr>
      <w:r w:rsidRPr="00126A71">
        <w:rPr>
          <w:b/>
        </w:rPr>
        <w:lastRenderedPageBreak/>
        <w:t xml:space="preserve">PART 7: </w:t>
      </w:r>
      <w:r w:rsidR="00FA569E">
        <w:rPr>
          <w:b/>
        </w:rPr>
        <w:t xml:space="preserve">DATE AND </w:t>
      </w:r>
      <w:r w:rsidR="007966A3" w:rsidRPr="00126A71">
        <w:rPr>
          <w:b/>
        </w:rPr>
        <w:t>CERTIFICATE</w:t>
      </w:r>
    </w:p>
    <w:p w14:paraId="4A02F7F7" w14:textId="1882890E" w:rsidR="00DD344E" w:rsidRPr="00126A71" w:rsidRDefault="007966A3" w:rsidP="005F4F91">
      <w:pPr>
        <w:spacing w:after="240" w:line="276" w:lineRule="auto"/>
        <w:ind w:right="201"/>
        <w:jc w:val="both"/>
        <w:rPr>
          <w:b/>
        </w:rPr>
      </w:pPr>
      <w:r w:rsidRPr="00126A71">
        <w:rPr>
          <w:b/>
        </w:rPr>
        <w:t>This</w:t>
      </w:r>
      <w:r w:rsidRPr="00126A71">
        <w:rPr>
          <w:b/>
          <w:spacing w:val="-4"/>
        </w:rPr>
        <w:t xml:space="preserve"> </w:t>
      </w:r>
      <w:r w:rsidRPr="00126A71">
        <w:rPr>
          <w:b/>
        </w:rPr>
        <w:t>offering</w:t>
      </w:r>
      <w:r w:rsidRPr="00126A71">
        <w:rPr>
          <w:b/>
          <w:spacing w:val="-2"/>
        </w:rPr>
        <w:t xml:space="preserve"> </w:t>
      </w:r>
      <w:r w:rsidRPr="00126A71">
        <w:rPr>
          <w:b/>
        </w:rPr>
        <w:t>document,</w:t>
      </w:r>
      <w:r w:rsidRPr="00126A71">
        <w:rPr>
          <w:b/>
          <w:spacing w:val="-4"/>
        </w:rPr>
        <w:t xml:space="preserve"> </w:t>
      </w:r>
      <w:r w:rsidRPr="00126A71">
        <w:rPr>
          <w:b/>
        </w:rPr>
        <w:t>together</w:t>
      </w:r>
      <w:r w:rsidRPr="00126A71">
        <w:rPr>
          <w:b/>
          <w:spacing w:val="-4"/>
        </w:rPr>
        <w:t xml:space="preserve"> </w:t>
      </w:r>
      <w:r w:rsidRPr="00126A71">
        <w:rPr>
          <w:b/>
        </w:rPr>
        <w:t>with</w:t>
      </w:r>
      <w:r w:rsidRPr="00126A71">
        <w:rPr>
          <w:b/>
          <w:spacing w:val="-3"/>
        </w:rPr>
        <w:t xml:space="preserve"> </w:t>
      </w:r>
      <w:r w:rsidRPr="00126A71">
        <w:rPr>
          <w:b/>
        </w:rPr>
        <w:t>any</w:t>
      </w:r>
      <w:r w:rsidRPr="00126A71">
        <w:rPr>
          <w:b/>
          <w:spacing w:val="-3"/>
        </w:rPr>
        <w:t xml:space="preserve"> </w:t>
      </w:r>
      <w:r w:rsidRPr="00126A71">
        <w:rPr>
          <w:b/>
        </w:rPr>
        <w:t>document</w:t>
      </w:r>
      <w:r w:rsidRPr="00126A71">
        <w:rPr>
          <w:b/>
          <w:spacing w:val="-2"/>
        </w:rPr>
        <w:t xml:space="preserve"> </w:t>
      </w:r>
      <w:r w:rsidRPr="00126A71">
        <w:rPr>
          <w:b/>
        </w:rPr>
        <w:t>filed</w:t>
      </w:r>
      <w:r w:rsidRPr="00126A71">
        <w:rPr>
          <w:b/>
          <w:spacing w:val="-3"/>
        </w:rPr>
        <w:t xml:space="preserve"> </w:t>
      </w:r>
      <w:r w:rsidRPr="00126A71">
        <w:rPr>
          <w:b/>
        </w:rPr>
        <w:t>under</w:t>
      </w:r>
      <w:r w:rsidRPr="00126A71">
        <w:rPr>
          <w:b/>
          <w:spacing w:val="-4"/>
        </w:rPr>
        <w:t xml:space="preserve"> </w:t>
      </w:r>
      <w:r w:rsidRPr="00126A71">
        <w:rPr>
          <w:b/>
        </w:rPr>
        <w:t>Canadian</w:t>
      </w:r>
      <w:r w:rsidRPr="00126A71">
        <w:rPr>
          <w:b/>
          <w:spacing w:val="-4"/>
        </w:rPr>
        <w:t xml:space="preserve"> </w:t>
      </w:r>
      <w:r w:rsidRPr="00126A71">
        <w:rPr>
          <w:b/>
        </w:rPr>
        <w:t>securities</w:t>
      </w:r>
      <w:r w:rsidRPr="00126A71">
        <w:rPr>
          <w:b/>
          <w:spacing w:val="-3"/>
        </w:rPr>
        <w:t xml:space="preserve"> </w:t>
      </w:r>
      <w:r w:rsidRPr="00126A71">
        <w:rPr>
          <w:b/>
        </w:rPr>
        <w:t>legislation</w:t>
      </w:r>
      <w:r w:rsidRPr="00126A71">
        <w:rPr>
          <w:b/>
          <w:spacing w:val="-2"/>
        </w:rPr>
        <w:t xml:space="preserve"> </w:t>
      </w:r>
      <w:r w:rsidRPr="00126A71">
        <w:rPr>
          <w:b/>
        </w:rPr>
        <w:t>on</w:t>
      </w:r>
      <w:r w:rsidR="000B7DCA">
        <w:rPr>
          <w:b/>
        </w:rPr>
        <w:t xml:space="preserve"> </w:t>
      </w:r>
      <w:r w:rsidRPr="00126A71">
        <w:rPr>
          <w:b/>
          <w:spacing w:val="-54"/>
        </w:rPr>
        <w:t xml:space="preserve"> </w:t>
      </w:r>
      <w:r w:rsidR="000B7DCA">
        <w:rPr>
          <w:b/>
          <w:spacing w:val="-54"/>
        </w:rPr>
        <w:t xml:space="preserve"> </w:t>
      </w:r>
      <w:r w:rsidRPr="00126A71">
        <w:rPr>
          <w:b/>
        </w:rPr>
        <w:t xml:space="preserve">or after </w:t>
      </w:r>
      <w:bookmarkStart w:id="5" w:name="_Hlk181740821"/>
      <w:r w:rsidR="00C17848">
        <w:rPr>
          <w:b/>
        </w:rPr>
        <w:t>October 20</w:t>
      </w:r>
      <w:r w:rsidR="00F254F7" w:rsidRPr="00126A71">
        <w:rPr>
          <w:b/>
        </w:rPr>
        <w:t>, 202</w:t>
      </w:r>
      <w:bookmarkEnd w:id="5"/>
      <w:r w:rsidR="00B921B3" w:rsidRPr="00126A71">
        <w:rPr>
          <w:b/>
        </w:rPr>
        <w:t>4</w:t>
      </w:r>
      <w:r w:rsidRPr="00126A71">
        <w:rPr>
          <w:b/>
        </w:rPr>
        <w:t>, contains disclosure of all material facts about the securities being</w:t>
      </w:r>
      <w:r w:rsidRPr="00126A71">
        <w:rPr>
          <w:b/>
          <w:spacing w:val="1"/>
        </w:rPr>
        <w:t xml:space="preserve"> </w:t>
      </w:r>
      <w:r w:rsidRPr="00126A71">
        <w:rPr>
          <w:b/>
        </w:rPr>
        <w:t>distributed</w:t>
      </w:r>
      <w:r w:rsidRPr="00126A71">
        <w:rPr>
          <w:b/>
          <w:spacing w:val="-2"/>
        </w:rPr>
        <w:t xml:space="preserve"> </w:t>
      </w:r>
      <w:r w:rsidRPr="00126A71">
        <w:rPr>
          <w:b/>
        </w:rPr>
        <w:t>and does</w:t>
      </w:r>
      <w:r w:rsidRPr="00126A71">
        <w:rPr>
          <w:b/>
          <w:spacing w:val="-1"/>
        </w:rPr>
        <w:t xml:space="preserve"> </w:t>
      </w:r>
      <w:r w:rsidRPr="00126A71">
        <w:rPr>
          <w:b/>
        </w:rPr>
        <w:t>not contain</w:t>
      </w:r>
      <w:r w:rsidRPr="00126A71">
        <w:rPr>
          <w:b/>
          <w:spacing w:val="-1"/>
        </w:rPr>
        <w:t xml:space="preserve"> </w:t>
      </w:r>
      <w:r w:rsidRPr="00126A71">
        <w:rPr>
          <w:b/>
        </w:rPr>
        <w:t>a</w:t>
      </w:r>
      <w:r w:rsidRPr="00126A71">
        <w:rPr>
          <w:b/>
          <w:spacing w:val="-1"/>
        </w:rPr>
        <w:t xml:space="preserve"> </w:t>
      </w:r>
      <w:r w:rsidRPr="00126A71">
        <w:rPr>
          <w:b/>
        </w:rPr>
        <w:t>misrepresentation.</w:t>
      </w:r>
    </w:p>
    <w:p w14:paraId="6EEFA980" w14:textId="77B4C43D" w:rsidR="00DD344E" w:rsidRPr="00126A71" w:rsidRDefault="00C17848" w:rsidP="00E90FBA">
      <w:pPr>
        <w:pStyle w:val="Heading1"/>
        <w:jc w:val="both"/>
      </w:pPr>
      <w:r>
        <w:t>October 20</w:t>
      </w:r>
      <w:r w:rsidR="007966A3" w:rsidRPr="00126A71">
        <w:t>, 202</w:t>
      </w:r>
      <w:r w:rsidR="00B921B3" w:rsidRPr="00126A71">
        <w:t>5</w:t>
      </w:r>
    </w:p>
    <w:p w14:paraId="7B468D7B" w14:textId="77777777" w:rsidR="00DD344E" w:rsidRPr="00126A71" w:rsidRDefault="00DD344E"/>
    <w:p w14:paraId="5CAE9CCC" w14:textId="77777777" w:rsidR="00E90FBA" w:rsidRPr="00126A71" w:rsidRDefault="00E90FBA"/>
    <w:p w14:paraId="31C2145A" w14:textId="77777777" w:rsidR="005A7BB7" w:rsidRPr="00126A71" w:rsidRDefault="005A7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2434"/>
        <w:gridCol w:w="6510"/>
      </w:tblGrid>
      <w:tr w:rsidR="002E309B" w:rsidRPr="00126A71" w14:paraId="59271F3E" w14:textId="77777777" w:rsidTr="005A7BB7">
        <w:tc>
          <w:tcPr>
            <w:tcW w:w="806" w:type="dxa"/>
          </w:tcPr>
          <w:p w14:paraId="7D939D27" w14:textId="77777777" w:rsidR="005A7BB7" w:rsidRPr="00126A71" w:rsidRDefault="007966A3" w:rsidP="005A7BB7">
            <w:pPr>
              <w:jc w:val="right"/>
            </w:pPr>
            <w:r w:rsidRPr="00126A71">
              <w:t>By:</w:t>
            </w:r>
          </w:p>
        </w:tc>
        <w:tc>
          <w:tcPr>
            <w:tcW w:w="2434" w:type="dxa"/>
            <w:tcBorders>
              <w:bottom w:val="single" w:sz="4" w:space="0" w:color="auto"/>
            </w:tcBorders>
          </w:tcPr>
          <w:p w14:paraId="2300E6EB" w14:textId="3EB02160" w:rsidR="005A7BB7" w:rsidRPr="00126A71" w:rsidRDefault="00F82EF8">
            <w:pPr>
              <w:rPr>
                <w:i/>
                <w:lang w:val="en-CA"/>
              </w:rPr>
            </w:pPr>
            <w:r>
              <w:rPr>
                <w:i/>
                <w:u w:val="single"/>
              </w:rPr>
              <w:t>“</w:t>
            </w:r>
            <w:r w:rsidR="00C17848">
              <w:rPr>
                <w:i/>
                <w:u w:val="single"/>
              </w:rPr>
              <w:t>Dale Verran</w:t>
            </w:r>
            <w:r>
              <w:rPr>
                <w:i/>
                <w:spacing w:val="-2"/>
                <w:u w:val="single"/>
              </w:rPr>
              <w:t>”</w:t>
            </w:r>
          </w:p>
        </w:tc>
        <w:tc>
          <w:tcPr>
            <w:tcW w:w="6510" w:type="dxa"/>
          </w:tcPr>
          <w:p w14:paraId="74A781AF" w14:textId="77777777" w:rsidR="005A7BB7" w:rsidRPr="00126A71" w:rsidRDefault="005A7BB7"/>
        </w:tc>
      </w:tr>
      <w:tr w:rsidR="002E309B" w:rsidRPr="00126A71" w14:paraId="74C708DB" w14:textId="77777777" w:rsidTr="005A7BB7">
        <w:tc>
          <w:tcPr>
            <w:tcW w:w="806" w:type="dxa"/>
          </w:tcPr>
          <w:p w14:paraId="4CE6735A" w14:textId="77777777" w:rsidR="005A7BB7" w:rsidRPr="00126A71" w:rsidRDefault="007966A3" w:rsidP="005A7BB7">
            <w:pPr>
              <w:jc w:val="right"/>
              <w:rPr>
                <w:lang w:val="en-CA"/>
              </w:rPr>
            </w:pPr>
            <w:r w:rsidRPr="00126A71">
              <w:rPr>
                <w:lang w:val="en-CA"/>
              </w:rPr>
              <w:t>Name:</w:t>
            </w:r>
          </w:p>
        </w:tc>
        <w:tc>
          <w:tcPr>
            <w:tcW w:w="2434" w:type="dxa"/>
            <w:tcBorders>
              <w:top w:val="single" w:sz="4" w:space="0" w:color="auto"/>
            </w:tcBorders>
          </w:tcPr>
          <w:p w14:paraId="3FE417C4" w14:textId="5BEAA526" w:rsidR="005A7BB7" w:rsidRPr="00126A71" w:rsidRDefault="00C17848">
            <w:r>
              <w:t>Dale Verran</w:t>
            </w:r>
          </w:p>
        </w:tc>
        <w:tc>
          <w:tcPr>
            <w:tcW w:w="6510" w:type="dxa"/>
          </w:tcPr>
          <w:p w14:paraId="2C708C67" w14:textId="77777777" w:rsidR="005A7BB7" w:rsidRPr="00126A71" w:rsidRDefault="005A7BB7"/>
        </w:tc>
      </w:tr>
      <w:tr w:rsidR="002E309B" w:rsidRPr="00126A71" w14:paraId="2E4ED8A0" w14:textId="77777777" w:rsidTr="005A7BB7">
        <w:tc>
          <w:tcPr>
            <w:tcW w:w="806" w:type="dxa"/>
          </w:tcPr>
          <w:p w14:paraId="12ABB7AA" w14:textId="77777777" w:rsidR="005A7BB7" w:rsidRPr="00126A71" w:rsidRDefault="007966A3" w:rsidP="005A7BB7">
            <w:pPr>
              <w:jc w:val="right"/>
            </w:pPr>
            <w:r w:rsidRPr="00126A71">
              <w:t>Title:</w:t>
            </w:r>
          </w:p>
        </w:tc>
        <w:tc>
          <w:tcPr>
            <w:tcW w:w="2434" w:type="dxa"/>
          </w:tcPr>
          <w:p w14:paraId="60B1C335" w14:textId="77777777" w:rsidR="005A7BB7" w:rsidRPr="00126A71" w:rsidRDefault="007966A3">
            <w:r w:rsidRPr="00126A71">
              <w:t>Chief Executive Officer</w:t>
            </w:r>
          </w:p>
        </w:tc>
        <w:tc>
          <w:tcPr>
            <w:tcW w:w="6510" w:type="dxa"/>
          </w:tcPr>
          <w:p w14:paraId="1E9AA8EA" w14:textId="77777777" w:rsidR="005A7BB7" w:rsidRPr="00126A71" w:rsidRDefault="005A7BB7"/>
        </w:tc>
      </w:tr>
      <w:tr w:rsidR="002E309B" w:rsidRPr="00126A71" w14:paraId="42376DB6" w14:textId="77777777" w:rsidTr="005A7BB7">
        <w:trPr>
          <w:trHeight w:val="899"/>
        </w:trPr>
        <w:tc>
          <w:tcPr>
            <w:tcW w:w="806" w:type="dxa"/>
          </w:tcPr>
          <w:p w14:paraId="21D92DC5" w14:textId="77777777" w:rsidR="005A7BB7" w:rsidRPr="00126A71" w:rsidRDefault="005A7BB7"/>
        </w:tc>
        <w:tc>
          <w:tcPr>
            <w:tcW w:w="2434" w:type="dxa"/>
          </w:tcPr>
          <w:p w14:paraId="23BDA886" w14:textId="77777777" w:rsidR="005A7BB7" w:rsidRPr="00126A71" w:rsidRDefault="005A7BB7"/>
        </w:tc>
        <w:tc>
          <w:tcPr>
            <w:tcW w:w="6510" w:type="dxa"/>
          </w:tcPr>
          <w:p w14:paraId="3DF6DADF" w14:textId="77777777" w:rsidR="005A7BB7" w:rsidRPr="00126A71" w:rsidRDefault="005A7BB7"/>
        </w:tc>
      </w:tr>
      <w:tr w:rsidR="002E309B" w:rsidRPr="00126A71" w14:paraId="100769A9" w14:textId="77777777" w:rsidTr="005A7BB7">
        <w:tc>
          <w:tcPr>
            <w:tcW w:w="806" w:type="dxa"/>
          </w:tcPr>
          <w:p w14:paraId="6378AAA5" w14:textId="77777777" w:rsidR="005A7BB7" w:rsidRPr="00126A71" w:rsidRDefault="007966A3" w:rsidP="005A7BB7">
            <w:pPr>
              <w:jc w:val="right"/>
            </w:pPr>
            <w:r w:rsidRPr="00126A71">
              <w:t>By:</w:t>
            </w:r>
          </w:p>
        </w:tc>
        <w:tc>
          <w:tcPr>
            <w:tcW w:w="2434" w:type="dxa"/>
            <w:tcBorders>
              <w:bottom w:val="single" w:sz="4" w:space="0" w:color="auto"/>
            </w:tcBorders>
          </w:tcPr>
          <w:p w14:paraId="27375961" w14:textId="1ECDFE06" w:rsidR="005A7BB7" w:rsidRPr="00126A71" w:rsidRDefault="00F82EF8">
            <w:r>
              <w:rPr>
                <w:i/>
                <w:u w:val="single"/>
              </w:rPr>
              <w:t>“</w:t>
            </w:r>
            <w:r w:rsidR="00C17848">
              <w:rPr>
                <w:i/>
                <w:u w:val="single"/>
              </w:rPr>
              <w:t>Sarah Oliver</w:t>
            </w:r>
            <w:r>
              <w:rPr>
                <w:i/>
                <w:spacing w:val="-2"/>
                <w:u w:val="single"/>
              </w:rPr>
              <w:t>”</w:t>
            </w:r>
          </w:p>
        </w:tc>
        <w:tc>
          <w:tcPr>
            <w:tcW w:w="6510" w:type="dxa"/>
          </w:tcPr>
          <w:p w14:paraId="116CA520" w14:textId="77777777" w:rsidR="005A7BB7" w:rsidRPr="00126A71" w:rsidRDefault="005A7BB7"/>
        </w:tc>
      </w:tr>
      <w:tr w:rsidR="002E309B" w:rsidRPr="00126A71" w14:paraId="7AB8F031" w14:textId="77777777" w:rsidTr="00E90FBA">
        <w:trPr>
          <w:trHeight w:val="242"/>
        </w:trPr>
        <w:tc>
          <w:tcPr>
            <w:tcW w:w="806" w:type="dxa"/>
          </w:tcPr>
          <w:p w14:paraId="076D323E" w14:textId="77777777" w:rsidR="005A7BB7" w:rsidRPr="00126A71" w:rsidRDefault="007966A3" w:rsidP="005A7BB7">
            <w:pPr>
              <w:jc w:val="right"/>
            </w:pPr>
            <w:r w:rsidRPr="00126A71">
              <w:t>Name:</w:t>
            </w:r>
          </w:p>
        </w:tc>
        <w:tc>
          <w:tcPr>
            <w:tcW w:w="2434" w:type="dxa"/>
            <w:tcBorders>
              <w:top w:val="single" w:sz="4" w:space="0" w:color="auto"/>
            </w:tcBorders>
          </w:tcPr>
          <w:p w14:paraId="032D30B2" w14:textId="00D35BA3" w:rsidR="005A7BB7" w:rsidRPr="00126A71" w:rsidRDefault="00C17848">
            <w:r>
              <w:t>Sarah Oliver</w:t>
            </w:r>
            <w:r w:rsidR="007966A3" w:rsidRPr="00126A71">
              <w:t xml:space="preserve"> </w:t>
            </w:r>
          </w:p>
        </w:tc>
        <w:tc>
          <w:tcPr>
            <w:tcW w:w="6510" w:type="dxa"/>
          </w:tcPr>
          <w:p w14:paraId="77B1CAAB" w14:textId="77777777" w:rsidR="005A7BB7" w:rsidRPr="00126A71" w:rsidRDefault="005A7BB7"/>
        </w:tc>
      </w:tr>
      <w:tr w:rsidR="002E309B" w:rsidRPr="00126A71" w14:paraId="1BED9A4E" w14:textId="77777777" w:rsidTr="005A7BB7">
        <w:tc>
          <w:tcPr>
            <w:tcW w:w="806" w:type="dxa"/>
          </w:tcPr>
          <w:p w14:paraId="23E37220" w14:textId="77777777" w:rsidR="005A7BB7" w:rsidRPr="00126A71" w:rsidRDefault="007966A3" w:rsidP="005A7BB7">
            <w:pPr>
              <w:jc w:val="right"/>
            </w:pPr>
            <w:r w:rsidRPr="00126A71">
              <w:t>Title:</w:t>
            </w:r>
          </w:p>
        </w:tc>
        <w:tc>
          <w:tcPr>
            <w:tcW w:w="2434" w:type="dxa"/>
          </w:tcPr>
          <w:p w14:paraId="679E05DF" w14:textId="77777777" w:rsidR="005A7BB7" w:rsidRPr="00126A71" w:rsidRDefault="007966A3">
            <w:r w:rsidRPr="00126A71">
              <w:t>Chief Financial Officer</w:t>
            </w:r>
          </w:p>
        </w:tc>
        <w:tc>
          <w:tcPr>
            <w:tcW w:w="6510" w:type="dxa"/>
          </w:tcPr>
          <w:p w14:paraId="34542A75" w14:textId="77777777" w:rsidR="005A7BB7" w:rsidRPr="00126A71" w:rsidRDefault="005A7BB7"/>
        </w:tc>
      </w:tr>
    </w:tbl>
    <w:p w14:paraId="0946271A" w14:textId="77777777" w:rsidR="00DD344E" w:rsidRDefault="00DD344E" w:rsidP="00CE5440">
      <w:pPr>
        <w:rPr>
          <w:sz w:val="16"/>
        </w:rPr>
      </w:pPr>
    </w:p>
    <w:sectPr w:rsidR="00DD344E" w:rsidSect="00FF5769">
      <w:headerReference w:type="default" r:id="rId22"/>
      <w:pgSz w:w="12240" w:h="15840"/>
      <w:pgMar w:top="1340" w:right="1240" w:bottom="280" w:left="1240" w:header="727"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AC16" w14:textId="77777777" w:rsidR="0021122F" w:rsidRDefault="0021122F">
      <w:r>
        <w:separator/>
      </w:r>
    </w:p>
  </w:endnote>
  <w:endnote w:type="continuationSeparator" w:id="0">
    <w:p w14:paraId="0414E607" w14:textId="77777777" w:rsidR="0021122F" w:rsidRDefault="002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1" w:usb1="00000000" w:usb2="00000000" w:usb3="00000000" w:csb0="00000001"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461E" w14:textId="77777777" w:rsidR="00FF5769" w:rsidRDefault="00FF5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E5CA" w14:textId="77777777" w:rsidR="00FF5769" w:rsidRDefault="00FF5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17E6" w14:textId="77777777" w:rsidR="00FF5769" w:rsidRDefault="00FF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AE8D" w14:textId="77777777" w:rsidR="0021122F" w:rsidRDefault="0021122F">
      <w:r>
        <w:separator/>
      </w:r>
    </w:p>
  </w:footnote>
  <w:footnote w:type="continuationSeparator" w:id="0">
    <w:p w14:paraId="634F3327" w14:textId="77777777" w:rsidR="0021122F" w:rsidRDefault="0021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0A33" w14:textId="77777777" w:rsidR="00FF5769" w:rsidRDefault="00FF5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F6B2" w14:textId="77777777" w:rsidR="00FF5769" w:rsidRDefault="00FF5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28F6" w14:textId="77777777" w:rsidR="00FF5769" w:rsidRDefault="00FF5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B158" w14:textId="77777777" w:rsidR="00DD344E" w:rsidRDefault="007966A3">
    <w:pPr>
      <w:pStyle w:val="BodyText"/>
      <w:spacing w:line="14" w:lineRule="auto"/>
    </w:pPr>
    <w:r>
      <w:rPr>
        <w:noProof/>
        <w:lang w:val="en-CA" w:eastAsia="en-CA"/>
      </w:rPr>
      <mc:AlternateContent>
        <mc:Choice Requires="wps">
          <w:drawing>
            <wp:anchor distT="0" distB="0" distL="114300" distR="114300" simplePos="0" relativeHeight="251658240" behindDoc="1" locked="0" layoutInCell="1" allowOverlap="1" wp14:anchorId="73384257" wp14:editId="5055F652">
              <wp:simplePos x="0" y="0"/>
              <wp:positionH relativeFrom="page">
                <wp:posOffset>3775075</wp:posOffset>
              </wp:positionH>
              <wp:positionV relativeFrom="page">
                <wp:posOffset>448945</wp:posOffset>
              </wp:positionV>
              <wp:extent cx="247650" cy="167005"/>
              <wp:effectExtent l="0" t="0" r="0" b="0"/>
              <wp:wrapNone/>
              <wp:docPr id="18527966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0C0A" w14:textId="77777777" w:rsidR="00DD344E" w:rsidRDefault="007966A3">
                          <w:pPr>
                            <w:pStyle w:val="BodyText"/>
                            <w:spacing w:before="12"/>
                            <w:ind w:left="20"/>
                          </w:pPr>
                          <w:r>
                            <w:t>C</w:t>
                          </w:r>
                          <w:r w:rsidR="00E72665">
                            <w:t>-</w:t>
                          </w:r>
                          <w:r w:rsidR="00E72665">
                            <w:fldChar w:fldCharType="begin"/>
                          </w:r>
                          <w:r w:rsidR="00E72665">
                            <w:instrText xml:space="preserve"> PAGE </w:instrText>
                          </w:r>
                          <w:r w:rsidR="00E72665">
                            <w:fldChar w:fldCharType="separate"/>
                          </w:r>
                          <w:r w:rsidR="009B7617">
                            <w:rPr>
                              <w:noProof/>
                            </w:rPr>
                            <w:t>2</w:t>
                          </w:r>
                          <w:r w:rsidR="00E72665">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
          <w:pict>
            <v:shapetype id="_x0000_t202" coordsize="21600,21600" o:spt="202" path="m,l,21600r21600,l21600,xe" w14:anchorId="73384257">
              <v:stroke joinstyle="miter"/>
              <v:path gradientshapeok="t" o:connecttype="rect"/>
            </v:shapetype>
            <v:shape id="Text Box 1" style="position:absolute;margin-left:297.25pt;margin-top:35.35pt;width:19.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">
              <v:textbox inset="0,0,0,0">
                <w:txbxContent>
                  <w:p w:rsidR="00DD344E" w:rsidRDefault="007966A3" w14:paraId="0F100C0A" w14:textId="77777777">
                    <w:pPr>
                      <w:pStyle w:val="BodyText"/>
                      <w:spacing w:before="12"/>
                      <w:ind w:left="20"/>
                    </w:pPr>
                    <w:r>
                      <w:t>C</w:t>
                    </w:r>
                    <w:r w:rsidR="00E72665">
                      <w:t>-</w:t>
                    </w:r>
                    <w:r w:rsidR="00E72665">
                      <w:fldChar w:fldCharType="begin"/>
                    </w:r>
                    <w:r w:rsidR="00E72665">
                      <w:instrText xml:space="preserve"> PAGE </w:instrText>
                    </w:r>
                    <w:r w:rsidR="00E72665">
                      <w:fldChar w:fldCharType="separate"/>
                    </w:r>
                    <w:r w:rsidR="009B7617">
                      <w:rPr>
                        <w:noProof/>
                      </w:rPr>
                      <w:t>2</w:t>
                    </w:r>
                    <w:r w:rsidR="00E72665">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297"/>
    <w:multiLevelType w:val="hybridMultilevel"/>
    <w:tmpl w:val="4EB4B804"/>
    <w:name w:val="UnnamedList41186"/>
    <w:lvl w:ilvl="0" w:tplc="E21E317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D32D9"/>
    <w:multiLevelType w:val="multilevel"/>
    <w:tmpl w:val="F39A1718"/>
    <w:name w:val="UnnamedList9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E1D"/>
    <w:multiLevelType w:val="hybridMultilevel"/>
    <w:tmpl w:val="DFCE5D5E"/>
    <w:name w:val="UnnamedList64996"/>
    <w:lvl w:ilvl="0" w:tplc="24CE410A">
      <w:start w:val="1"/>
      <w:numFmt w:val="bullet"/>
      <w:lvlRestart w:val="0"/>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0DE66618"/>
    <w:multiLevelType w:val="hybridMultilevel"/>
    <w:tmpl w:val="C854EEAC"/>
    <w:name w:val="UnnamedList17602"/>
    <w:lvl w:ilvl="0" w:tplc="5B229A56">
      <w:start w:val="1"/>
      <w:numFmt w:val="lowerRoman"/>
      <w:lvlText w:val="%1."/>
      <w:lvlJc w:val="left"/>
      <w:pPr>
        <w:ind w:left="1640" w:hanging="461"/>
        <w:jc w:val="right"/>
      </w:pPr>
      <w:rPr>
        <w:rFonts w:ascii="Arial MT" w:eastAsia="Arial MT" w:hAnsi="Arial MT" w:cs="Arial MT" w:hint="default"/>
        <w:spacing w:val="-2"/>
        <w:w w:val="99"/>
        <w:sz w:val="20"/>
        <w:szCs w:val="20"/>
        <w:lang w:val="en-US" w:eastAsia="en-US" w:bidi="ar-SA"/>
      </w:rPr>
    </w:lvl>
    <w:lvl w:ilvl="1" w:tplc="46C41DBE">
      <w:numFmt w:val="bullet"/>
      <w:lvlText w:val="•"/>
      <w:lvlJc w:val="left"/>
      <w:pPr>
        <w:ind w:left="2452" w:hanging="461"/>
      </w:pPr>
      <w:rPr>
        <w:rFonts w:hint="default"/>
        <w:lang w:val="en-US" w:eastAsia="en-US" w:bidi="ar-SA"/>
      </w:rPr>
    </w:lvl>
    <w:lvl w:ilvl="2" w:tplc="5C64C6FE">
      <w:numFmt w:val="bullet"/>
      <w:lvlText w:val="•"/>
      <w:lvlJc w:val="left"/>
      <w:pPr>
        <w:ind w:left="3264" w:hanging="461"/>
      </w:pPr>
      <w:rPr>
        <w:rFonts w:hint="default"/>
        <w:lang w:val="en-US" w:eastAsia="en-US" w:bidi="ar-SA"/>
      </w:rPr>
    </w:lvl>
    <w:lvl w:ilvl="3" w:tplc="BB02E252">
      <w:numFmt w:val="bullet"/>
      <w:lvlText w:val="•"/>
      <w:lvlJc w:val="left"/>
      <w:pPr>
        <w:ind w:left="4076" w:hanging="461"/>
      </w:pPr>
      <w:rPr>
        <w:rFonts w:hint="default"/>
        <w:lang w:val="en-US" w:eastAsia="en-US" w:bidi="ar-SA"/>
      </w:rPr>
    </w:lvl>
    <w:lvl w:ilvl="4" w:tplc="2A1CE4BA">
      <w:numFmt w:val="bullet"/>
      <w:lvlText w:val="•"/>
      <w:lvlJc w:val="left"/>
      <w:pPr>
        <w:ind w:left="4888" w:hanging="461"/>
      </w:pPr>
      <w:rPr>
        <w:rFonts w:hint="default"/>
        <w:lang w:val="en-US" w:eastAsia="en-US" w:bidi="ar-SA"/>
      </w:rPr>
    </w:lvl>
    <w:lvl w:ilvl="5" w:tplc="3A38CB6E">
      <w:numFmt w:val="bullet"/>
      <w:lvlText w:val="•"/>
      <w:lvlJc w:val="left"/>
      <w:pPr>
        <w:ind w:left="5700" w:hanging="461"/>
      </w:pPr>
      <w:rPr>
        <w:rFonts w:hint="default"/>
        <w:lang w:val="en-US" w:eastAsia="en-US" w:bidi="ar-SA"/>
      </w:rPr>
    </w:lvl>
    <w:lvl w:ilvl="6" w:tplc="C00C387E">
      <w:numFmt w:val="bullet"/>
      <w:lvlText w:val="•"/>
      <w:lvlJc w:val="left"/>
      <w:pPr>
        <w:ind w:left="6512" w:hanging="461"/>
      </w:pPr>
      <w:rPr>
        <w:rFonts w:hint="default"/>
        <w:lang w:val="en-US" w:eastAsia="en-US" w:bidi="ar-SA"/>
      </w:rPr>
    </w:lvl>
    <w:lvl w:ilvl="7" w:tplc="AAF27178">
      <w:numFmt w:val="bullet"/>
      <w:lvlText w:val="•"/>
      <w:lvlJc w:val="left"/>
      <w:pPr>
        <w:ind w:left="7324" w:hanging="461"/>
      </w:pPr>
      <w:rPr>
        <w:rFonts w:hint="default"/>
        <w:lang w:val="en-US" w:eastAsia="en-US" w:bidi="ar-SA"/>
      </w:rPr>
    </w:lvl>
    <w:lvl w:ilvl="8" w:tplc="67B87B4A">
      <w:numFmt w:val="bullet"/>
      <w:lvlText w:val="•"/>
      <w:lvlJc w:val="left"/>
      <w:pPr>
        <w:ind w:left="8136" w:hanging="461"/>
      </w:pPr>
      <w:rPr>
        <w:rFonts w:hint="default"/>
        <w:lang w:val="en-US" w:eastAsia="en-US" w:bidi="ar-SA"/>
      </w:rPr>
    </w:lvl>
  </w:abstractNum>
  <w:abstractNum w:abstractNumId="4" w15:restartNumberingAfterBreak="0">
    <w:nsid w:val="13142B46"/>
    <w:multiLevelType w:val="hybridMultilevel"/>
    <w:tmpl w:val="9CC82150"/>
    <w:name w:val="UnnamedList52105"/>
    <w:lvl w:ilvl="0" w:tplc="BCEE6F98">
      <w:start w:val="1"/>
      <w:numFmt w:val="decimal"/>
      <w:lvlText w:val="(%1)"/>
      <w:lvlJc w:val="left"/>
      <w:pPr>
        <w:ind w:left="720" w:hanging="360"/>
      </w:pPr>
      <w:rPr>
        <w:rFonts w:hint="default"/>
        <w:vertAlign w:val="superscript"/>
      </w:rPr>
    </w:lvl>
    <w:lvl w:ilvl="1" w:tplc="BCFE0F4C" w:tentative="1">
      <w:start w:val="1"/>
      <w:numFmt w:val="lowerLetter"/>
      <w:lvlText w:val="%2."/>
      <w:lvlJc w:val="left"/>
      <w:pPr>
        <w:ind w:left="1440" w:hanging="360"/>
      </w:pPr>
    </w:lvl>
    <w:lvl w:ilvl="2" w:tplc="263E7E72" w:tentative="1">
      <w:start w:val="1"/>
      <w:numFmt w:val="lowerRoman"/>
      <w:lvlText w:val="%3."/>
      <w:lvlJc w:val="right"/>
      <w:pPr>
        <w:ind w:left="2160" w:hanging="180"/>
      </w:pPr>
    </w:lvl>
    <w:lvl w:ilvl="3" w:tplc="53708A7A" w:tentative="1">
      <w:start w:val="1"/>
      <w:numFmt w:val="decimal"/>
      <w:lvlText w:val="%4."/>
      <w:lvlJc w:val="left"/>
      <w:pPr>
        <w:ind w:left="2880" w:hanging="360"/>
      </w:pPr>
    </w:lvl>
    <w:lvl w:ilvl="4" w:tplc="EF005352" w:tentative="1">
      <w:start w:val="1"/>
      <w:numFmt w:val="lowerLetter"/>
      <w:lvlText w:val="%5."/>
      <w:lvlJc w:val="left"/>
      <w:pPr>
        <w:ind w:left="3600" w:hanging="360"/>
      </w:pPr>
    </w:lvl>
    <w:lvl w:ilvl="5" w:tplc="07583CDA" w:tentative="1">
      <w:start w:val="1"/>
      <w:numFmt w:val="lowerRoman"/>
      <w:lvlText w:val="%6."/>
      <w:lvlJc w:val="right"/>
      <w:pPr>
        <w:ind w:left="4320" w:hanging="180"/>
      </w:pPr>
    </w:lvl>
    <w:lvl w:ilvl="6" w:tplc="E85A816A" w:tentative="1">
      <w:start w:val="1"/>
      <w:numFmt w:val="decimal"/>
      <w:lvlText w:val="%7."/>
      <w:lvlJc w:val="left"/>
      <w:pPr>
        <w:ind w:left="5040" w:hanging="360"/>
      </w:pPr>
    </w:lvl>
    <w:lvl w:ilvl="7" w:tplc="1EBA1D3E" w:tentative="1">
      <w:start w:val="1"/>
      <w:numFmt w:val="lowerLetter"/>
      <w:lvlText w:val="%8."/>
      <w:lvlJc w:val="left"/>
      <w:pPr>
        <w:ind w:left="5760" w:hanging="360"/>
      </w:pPr>
    </w:lvl>
    <w:lvl w:ilvl="8" w:tplc="2BB6378A" w:tentative="1">
      <w:start w:val="1"/>
      <w:numFmt w:val="lowerRoman"/>
      <w:lvlText w:val="%9."/>
      <w:lvlJc w:val="right"/>
      <w:pPr>
        <w:ind w:left="6480" w:hanging="180"/>
      </w:pPr>
    </w:lvl>
  </w:abstractNum>
  <w:abstractNum w:abstractNumId="5" w15:restartNumberingAfterBreak="0">
    <w:nsid w:val="143900B1"/>
    <w:multiLevelType w:val="hybridMultilevel"/>
    <w:tmpl w:val="4B02F06E"/>
    <w:name w:val="UnnamedList57613"/>
    <w:lvl w:ilvl="0" w:tplc="1564053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9695C"/>
    <w:multiLevelType w:val="hybridMultilevel"/>
    <w:tmpl w:val="77823ACA"/>
    <w:name w:val="UnnamedList49479"/>
    <w:lvl w:ilvl="0" w:tplc="9CFAC7D2">
      <w:start w:val="1"/>
      <w:numFmt w:val="lowerLetter"/>
      <w:lvlText w:val="%1)"/>
      <w:lvlJc w:val="left"/>
      <w:pPr>
        <w:ind w:left="920" w:hanging="360"/>
      </w:pPr>
      <w:rPr>
        <w:rFonts w:ascii="Arial MT" w:eastAsia="Arial MT" w:hAnsi="Arial MT" w:cs="Arial MT" w:hint="default"/>
        <w:spacing w:val="-1"/>
        <w:w w:val="99"/>
        <w:sz w:val="20"/>
        <w:szCs w:val="20"/>
        <w:lang w:val="en-US" w:eastAsia="en-US" w:bidi="ar-SA"/>
      </w:rPr>
    </w:lvl>
    <w:lvl w:ilvl="1" w:tplc="4C629DE2">
      <w:start w:val="3"/>
      <w:numFmt w:val="lowerRoman"/>
      <w:lvlText w:val="(%2)"/>
      <w:lvlJc w:val="left"/>
      <w:pPr>
        <w:ind w:left="920" w:hanging="324"/>
      </w:pPr>
      <w:rPr>
        <w:rFonts w:ascii="Arial MT" w:eastAsia="Arial MT" w:hAnsi="Arial MT" w:cs="Arial MT" w:hint="default"/>
        <w:spacing w:val="-1"/>
        <w:w w:val="99"/>
        <w:sz w:val="20"/>
        <w:szCs w:val="20"/>
        <w:lang w:val="en-US" w:eastAsia="en-US" w:bidi="ar-SA"/>
      </w:rPr>
    </w:lvl>
    <w:lvl w:ilvl="2" w:tplc="686ED0C8">
      <w:numFmt w:val="bullet"/>
      <w:lvlText w:val="•"/>
      <w:lvlJc w:val="left"/>
      <w:pPr>
        <w:ind w:left="2688" w:hanging="324"/>
      </w:pPr>
      <w:rPr>
        <w:rFonts w:hint="default"/>
        <w:lang w:val="en-US" w:eastAsia="en-US" w:bidi="ar-SA"/>
      </w:rPr>
    </w:lvl>
    <w:lvl w:ilvl="3" w:tplc="0F8CE6E2">
      <w:numFmt w:val="bullet"/>
      <w:lvlText w:val="•"/>
      <w:lvlJc w:val="left"/>
      <w:pPr>
        <w:ind w:left="3572" w:hanging="324"/>
      </w:pPr>
      <w:rPr>
        <w:rFonts w:hint="default"/>
        <w:lang w:val="en-US" w:eastAsia="en-US" w:bidi="ar-SA"/>
      </w:rPr>
    </w:lvl>
    <w:lvl w:ilvl="4" w:tplc="08FC1F02">
      <w:numFmt w:val="bullet"/>
      <w:lvlText w:val="•"/>
      <w:lvlJc w:val="left"/>
      <w:pPr>
        <w:ind w:left="4456" w:hanging="324"/>
      </w:pPr>
      <w:rPr>
        <w:rFonts w:hint="default"/>
        <w:lang w:val="en-US" w:eastAsia="en-US" w:bidi="ar-SA"/>
      </w:rPr>
    </w:lvl>
    <w:lvl w:ilvl="5" w:tplc="EF20586A">
      <w:numFmt w:val="bullet"/>
      <w:lvlText w:val="•"/>
      <w:lvlJc w:val="left"/>
      <w:pPr>
        <w:ind w:left="5340" w:hanging="324"/>
      </w:pPr>
      <w:rPr>
        <w:rFonts w:hint="default"/>
        <w:lang w:val="en-US" w:eastAsia="en-US" w:bidi="ar-SA"/>
      </w:rPr>
    </w:lvl>
    <w:lvl w:ilvl="6" w:tplc="439061D8">
      <w:numFmt w:val="bullet"/>
      <w:lvlText w:val="•"/>
      <w:lvlJc w:val="left"/>
      <w:pPr>
        <w:ind w:left="6224" w:hanging="324"/>
      </w:pPr>
      <w:rPr>
        <w:rFonts w:hint="default"/>
        <w:lang w:val="en-US" w:eastAsia="en-US" w:bidi="ar-SA"/>
      </w:rPr>
    </w:lvl>
    <w:lvl w:ilvl="7" w:tplc="F5C64DAA">
      <w:numFmt w:val="bullet"/>
      <w:lvlText w:val="•"/>
      <w:lvlJc w:val="left"/>
      <w:pPr>
        <w:ind w:left="7108" w:hanging="324"/>
      </w:pPr>
      <w:rPr>
        <w:rFonts w:hint="default"/>
        <w:lang w:val="en-US" w:eastAsia="en-US" w:bidi="ar-SA"/>
      </w:rPr>
    </w:lvl>
    <w:lvl w:ilvl="8" w:tplc="F1DE79BE">
      <w:numFmt w:val="bullet"/>
      <w:lvlText w:val="•"/>
      <w:lvlJc w:val="left"/>
      <w:pPr>
        <w:ind w:left="7992" w:hanging="324"/>
      </w:pPr>
      <w:rPr>
        <w:rFonts w:hint="default"/>
        <w:lang w:val="en-US" w:eastAsia="en-US" w:bidi="ar-SA"/>
      </w:rPr>
    </w:lvl>
  </w:abstractNum>
  <w:abstractNum w:abstractNumId="7" w15:restartNumberingAfterBreak="0">
    <w:nsid w:val="3DCC791C"/>
    <w:multiLevelType w:val="hybridMultilevel"/>
    <w:tmpl w:val="9A122778"/>
    <w:name w:val="UnnamedList79300"/>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FD5AFD"/>
    <w:multiLevelType w:val="hybridMultilevel"/>
    <w:tmpl w:val="D1729DA6"/>
    <w:name w:val="UnnamedList64114"/>
    <w:lvl w:ilvl="0" w:tplc="E09A0452">
      <w:start w:val="1"/>
      <w:numFmt w:val="bullet"/>
      <w:lvlText w:val=""/>
      <w:lvlJc w:val="left"/>
      <w:pPr>
        <w:ind w:left="720" w:hanging="360"/>
      </w:pPr>
      <w:rPr>
        <w:rFonts w:ascii="Symbol" w:hAnsi="Symbol" w:hint="default"/>
      </w:rPr>
    </w:lvl>
    <w:lvl w:ilvl="1" w:tplc="234EE40E" w:tentative="1">
      <w:start w:val="1"/>
      <w:numFmt w:val="bullet"/>
      <w:lvlText w:val="o"/>
      <w:lvlJc w:val="left"/>
      <w:pPr>
        <w:ind w:left="1440" w:hanging="360"/>
      </w:pPr>
      <w:rPr>
        <w:rFonts w:ascii="Courier New" w:hAnsi="Courier New" w:cs="Courier New" w:hint="default"/>
      </w:rPr>
    </w:lvl>
    <w:lvl w:ilvl="2" w:tplc="A644F692" w:tentative="1">
      <w:start w:val="1"/>
      <w:numFmt w:val="bullet"/>
      <w:lvlText w:val=""/>
      <w:lvlJc w:val="left"/>
      <w:pPr>
        <w:ind w:left="2160" w:hanging="360"/>
      </w:pPr>
      <w:rPr>
        <w:rFonts w:ascii="Wingdings" w:hAnsi="Wingdings" w:hint="default"/>
      </w:rPr>
    </w:lvl>
    <w:lvl w:ilvl="3" w:tplc="E8F0EE70" w:tentative="1">
      <w:start w:val="1"/>
      <w:numFmt w:val="bullet"/>
      <w:lvlText w:val=""/>
      <w:lvlJc w:val="left"/>
      <w:pPr>
        <w:ind w:left="2880" w:hanging="360"/>
      </w:pPr>
      <w:rPr>
        <w:rFonts w:ascii="Symbol" w:hAnsi="Symbol" w:hint="default"/>
      </w:rPr>
    </w:lvl>
    <w:lvl w:ilvl="4" w:tplc="FFAC3770" w:tentative="1">
      <w:start w:val="1"/>
      <w:numFmt w:val="bullet"/>
      <w:lvlText w:val="o"/>
      <w:lvlJc w:val="left"/>
      <w:pPr>
        <w:ind w:left="3600" w:hanging="360"/>
      </w:pPr>
      <w:rPr>
        <w:rFonts w:ascii="Courier New" w:hAnsi="Courier New" w:cs="Courier New" w:hint="default"/>
      </w:rPr>
    </w:lvl>
    <w:lvl w:ilvl="5" w:tplc="5430313E" w:tentative="1">
      <w:start w:val="1"/>
      <w:numFmt w:val="bullet"/>
      <w:lvlText w:val=""/>
      <w:lvlJc w:val="left"/>
      <w:pPr>
        <w:ind w:left="4320" w:hanging="360"/>
      </w:pPr>
      <w:rPr>
        <w:rFonts w:ascii="Wingdings" w:hAnsi="Wingdings" w:hint="default"/>
      </w:rPr>
    </w:lvl>
    <w:lvl w:ilvl="6" w:tplc="780CE396" w:tentative="1">
      <w:start w:val="1"/>
      <w:numFmt w:val="bullet"/>
      <w:lvlText w:val=""/>
      <w:lvlJc w:val="left"/>
      <w:pPr>
        <w:ind w:left="5040" w:hanging="360"/>
      </w:pPr>
      <w:rPr>
        <w:rFonts w:ascii="Symbol" w:hAnsi="Symbol" w:hint="default"/>
      </w:rPr>
    </w:lvl>
    <w:lvl w:ilvl="7" w:tplc="9F840BC6" w:tentative="1">
      <w:start w:val="1"/>
      <w:numFmt w:val="bullet"/>
      <w:lvlText w:val="o"/>
      <w:lvlJc w:val="left"/>
      <w:pPr>
        <w:ind w:left="5760" w:hanging="360"/>
      </w:pPr>
      <w:rPr>
        <w:rFonts w:ascii="Courier New" w:hAnsi="Courier New" w:cs="Courier New" w:hint="default"/>
      </w:rPr>
    </w:lvl>
    <w:lvl w:ilvl="8" w:tplc="000ADBCA" w:tentative="1">
      <w:start w:val="1"/>
      <w:numFmt w:val="bullet"/>
      <w:lvlText w:val=""/>
      <w:lvlJc w:val="left"/>
      <w:pPr>
        <w:ind w:left="6480" w:hanging="360"/>
      </w:pPr>
      <w:rPr>
        <w:rFonts w:ascii="Wingdings" w:hAnsi="Wingdings" w:hint="default"/>
      </w:rPr>
    </w:lvl>
  </w:abstractNum>
  <w:abstractNum w:abstractNumId="9" w15:restartNumberingAfterBreak="0">
    <w:nsid w:val="425444EA"/>
    <w:multiLevelType w:val="hybridMultilevel"/>
    <w:tmpl w:val="9A122778"/>
    <w:name w:val="UnnamedList68074"/>
    <w:lvl w:ilvl="0" w:tplc="B2A0397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574CE"/>
    <w:multiLevelType w:val="hybridMultilevel"/>
    <w:tmpl w:val="51AEF364"/>
    <w:name w:val="UnnamedList12170"/>
    <w:lvl w:ilvl="0" w:tplc="6F0804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AB552D9"/>
    <w:multiLevelType w:val="hybridMultilevel"/>
    <w:tmpl w:val="51AEF364"/>
    <w:name w:val="UnnamedList53377"/>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06D760"/>
    <w:multiLevelType w:val="hybridMultilevel"/>
    <w:tmpl w:val="FFFFFFFF"/>
    <w:name w:val="UnnamedList552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4405469"/>
    <w:multiLevelType w:val="multilevel"/>
    <w:tmpl w:val="6C2A2256"/>
    <w:name w:val="ONE"/>
    <w:lvl w:ilvl="0">
      <w:start w:val="1"/>
      <w:numFmt w:val="bullet"/>
      <w:lvlRestart w:val="0"/>
      <w:lvlText w:val=""/>
      <w:lvlJc w:val="left"/>
      <w:pPr>
        <w:ind w:left="720" w:hanging="360"/>
      </w:pPr>
      <w:rPr>
        <w:rFonts w:ascii="Symbol" w:hAnsi="Symbol" w:hint="default"/>
      </w:rPr>
    </w:lvl>
    <w:lvl w:ilvl="1">
      <w:start w:val="1"/>
      <w:numFmt w:val="bullet"/>
      <w:pStyle w:val="ONEBulletL2"/>
      <w:lvlText w:val="o"/>
      <w:lvlJc w:val="left"/>
      <w:pPr>
        <w:ind w:left="1080" w:hanging="360"/>
      </w:pPr>
      <w:rPr>
        <w:rFonts w:ascii="Courier New" w:hAnsi="Courier New" w:hint="default"/>
      </w:rPr>
    </w:lvl>
    <w:lvl w:ilvl="2">
      <w:start w:val="1"/>
      <w:numFmt w:val="bullet"/>
      <w:pStyle w:val="ONEBulletL3"/>
      <w:lvlText w:val=""/>
      <w:lvlJc w:val="left"/>
      <w:pPr>
        <w:ind w:left="144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CF0E03"/>
    <w:multiLevelType w:val="hybridMultilevel"/>
    <w:tmpl w:val="887C7AFC"/>
    <w:name w:val="UnnamedList88827"/>
    <w:lvl w:ilvl="0" w:tplc="AD5C56F2">
      <w:numFmt w:val="bullet"/>
      <w:lvlText w:val=""/>
      <w:lvlJc w:val="left"/>
      <w:pPr>
        <w:ind w:left="920" w:hanging="360"/>
      </w:pPr>
      <w:rPr>
        <w:rFonts w:ascii="Symbol" w:eastAsia="Symbol" w:hAnsi="Symbol" w:cs="Symbol" w:hint="default"/>
        <w:w w:val="99"/>
        <w:sz w:val="20"/>
        <w:szCs w:val="20"/>
        <w:lang w:val="en-US" w:eastAsia="en-US" w:bidi="ar-SA"/>
      </w:rPr>
    </w:lvl>
    <w:lvl w:ilvl="1" w:tplc="E8C2E3D2">
      <w:numFmt w:val="bullet"/>
      <w:lvlText w:val="•"/>
      <w:lvlJc w:val="left"/>
      <w:pPr>
        <w:ind w:left="1804" w:hanging="360"/>
      </w:pPr>
      <w:rPr>
        <w:rFonts w:hint="default"/>
        <w:lang w:val="en-US" w:eastAsia="en-US" w:bidi="ar-SA"/>
      </w:rPr>
    </w:lvl>
    <w:lvl w:ilvl="2" w:tplc="7286F00C">
      <w:numFmt w:val="bullet"/>
      <w:lvlText w:val="•"/>
      <w:lvlJc w:val="left"/>
      <w:pPr>
        <w:ind w:left="2688" w:hanging="360"/>
      </w:pPr>
      <w:rPr>
        <w:rFonts w:hint="default"/>
        <w:lang w:val="en-US" w:eastAsia="en-US" w:bidi="ar-SA"/>
      </w:rPr>
    </w:lvl>
    <w:lvl w:ilvl="3" w:tplc="815417F2">
      <w:numFmt w:val="bullet"/>
      <w:lvlText w:val="•"/>
      <w:lvlJc w:val="left"/>
      <w:pPr>
        <w:ind w:left="3572" w:hanging="360"/>
      </w:pPr>
      <w:rPr>
        <w:rFonts w:hint="default"/>
        <w:lang w:val="en-US" w:eastAsia="en-US" w:bidi="ar-SA"/>
      </w:rPr>
    </w:lvl>
    <w:lvl w:ilvl="4" w:tplc="14FC4A88">
      <w:numFmt w:val="bullet"/>
      <w:lvlText w:val="•"/>
      <w:lvlJc w:val="left"/>
      <w:pPr>
        <w:ind w:left="4456" w:hanging="360"/>
      </w:pPr>
      <w:rPr>
        <w:rFonts w:hint="default"/>
        <w:lang w:val="en-US" w:eastAsia="en-US" w:bidi="ar-SA"/>
      </w:rPr>
    </w:lvl>
    <w:lvl w:ilvl="5" w:tplc="C6180784">
      <w:numFmt w:val="bullet"/>
      <w:lvlText w:val="•"/>
      <w:lvlJc w:val="left"/>
      <w:pPr>
        <w:ind w:left="5340" w:hanging="360"/>
      </w:pPr>
      <w:rPr>
        <w:rFonts w:hint="default"/>
        <w:lang w:val="en-US" w:eastAsia="en-US" w:bidi="ar-SA"/>
      </w:rPr>
    </w:lvl>
    <w:lvl w:ilvl="6" w:tplc="CC36ABC2">
      <w:numFmt w:val="bullet"/>
      <w:lvlText w:val="•"/>
      <w:lvlJc w:val="left"/>
      <w:pPr>
        <w:ind w:left="6224" w:hanging="360"/>
      </w:pPr>
      <w:rPr>
        <w:rFonts w:hint="default"/>
        <w:lang w:val="en-US" w:eastAsia="en-US" w:bidi="ar-SA"/>
      </w:rPr>
    </w:lvl>
    <w:lvl w:ilvl="7" w:tplc="BBB00244">
      <w:numFmt w:val="bullet"/>
      <w:lvlText w:val="•"/>
      <w:lvlJc w:val="left"/>
      <w:pPr>
        <w:ind w:left="7108" w:hanging="360"/>
      </w:pPr>
      <w:rPr>
        <w:rFonts w:hint="default"/>
        <w:lang w:val="en-US" w:eastAsia="en-US" w:bidi="ar-SA"/>
      </w:rPr>
    </w:lvl>
    <w:lvl w:ilvl="8" w:tplc="28E09888">
      <w:numFmt w:val="bullet"/>
      <w:lvlText w:val="•"/>
      <w:lvlJc w:val="left"/>
      <w:pPr>
        <w:ind w:left="7992" w:hanging="360"/>
      </w:pPr>
      <w:rPr>
        <w:rFonts w:hint="default"/>
        <w:lang w:val="en-US" w:eastAsia="en-US" w:bidi="ar-SA"/>
      </w:rPr>
    </w:lvl>
  </w:abstractNum>
  <w:abstractNum w:abstractNumId="15" w15:restartNumberingAfterBreak="0">
    <w:nsid w:val="71EA6FCD"/>
    <w:multiLevelType w:val="hybridMultilevel"/>
    <w:tmpl w:val="AA283A88"/>
    <w:name w:val="UnnamedList33065"/>
    <w:lvl w:ilvl="0" w:tplc="1564053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E3803"/>
    <w:multiLevelType w:val="hybridMultilevel"/>
    <w:tmpl w:val="F39E8912"/>
    <w:name w:val="UnnamedList1843"/>
    <w:lvl w:ilvl="0" w:tplc="57C6C38E">
      <w:start w:val="1"/>
      <w:numFmt w:val="lowerLetter"/>
      <w:lvlText w:val="(%1)"/>
      <w:lvlJc w:val="left"/>
      <w:pPr>
        <w:ind w:left="1640" w:hanging="720"/>
      </w:pPr>
      <w:rPr>
        <w:rFonts w:ascii="Arial Bold" w:eastAsia="Arial" w:hAnsi="Arial Bold" w:cs="Arial" w:hint="default"/>
        <w:b/>
        <w:bCs/>
        <w:w w:val="100"/>
        <w:sz w:val="20"/>
        <w:szCs w:val="20"/>
        <w:lang w:val="en-US" w:eastAsia="en-US" w:bidi="ar-SA"/>
      </w:rPr>
    </w:lvl>
    <w:lvl w:ilvl="1" w:tplc="A0D0F218">
      <w:numFmt w:val="bullet"/>
      <w:lvlText w:val="•"/>
      <w:lvlJc w:val="left"/>
      <w:pPr>
        <w:ind w:left="2452" w:hanging="720"/>
      </w:pPr>
      <w:rPr>
        <w:rFonts w:hint="default"/>
        <w:lang w:val="en-US" w:eastAsia="en-US" w:bidi="ar-SA"/>
      </w:rPr>
    </w:lvl>
    <w:lvl w:ilvl="2" w:tplc="1796365C">
      <w:numFmt w:val="bullet"/>
      <w:lvlText w:val="•"/>
      <w:lvlJc w:val="left"/>
      <w:pPr>
        <w:ind w:left="3264" w:hanging="720"/>
      </w:pPr>
      <w:rPr>
        <w:rFonts w:hint="default"/>
        <w:lang w:val="en-US" w:eastAsia="en-US" w:bidi="ar-SA"/>
      </w:rPr>
    </w:lvl>
    <w:lvl w:ilvl="3" w:tplc="B6AC89B8">
      <w:numFmt w:val="bullet"/>
      <w:lvlText w:val="•"/>
      <w:lvlJc w:val="left"/>
      <w:pPr>
        <w:ind w:left="4076" w:hanging="720"/>
      </w:pPr>
      <w:rPr>
        <w:rFonts w:hint="default"/>
        <w:lang w:val="en-US" w:eastAsia="en-US" w:bidi="ar-SA"/>
      </w:rPr>
    </w:lvl>
    <w:lvl w:ilvl="4" w:tplc="EE84DFFE">
      <w:numFmt w:val="bullet"/>
      <w:lvlText w:val="•"/>
      <w:lvlJc w:val="left"/>
      <w:pPr>
        <w:ind w:left="4888" w:hanging="720"/>
      </w:pPr>
      <w:rPr>
        <w:rFonts w:hint="default"/>
        <w:lang w:val="en-US" w:eastAsia="en-US" w:bidi="ar-SA"/>
      </w:rPr>
    </w:lvl>
    <w:lvl w:ilvl="5" w:tplc="98825AFE">
      <w:numFmt w:val="bullet"/>
      <w:lvlText w:val="•"/>
      <w:lvlJc w:val="left"/>
      <w:pPr>
        <w:ind w:left="5700" w:hanging="720"/>
      </w:pPr>
      <w:rPr>
        <w:rFonts w:hint="default"/>
        <w:lang w:val="en-US" w:eastAsia="en-US" w:bidi="ar-SA"/>
      </w:rPr>
    </w:lvl>
    <w:lvl w:ilvl="6" w:tplc="413AA814">
      <w:numFmt w:val="bullet"/>
      <w:lvlText w:val="•"/>
      <w:lvlJc w:val="left"/>
      <w:pPr>
        <w:ind w:left="6512" w:hanging="720"/>
      </w:pPr>
      <w:rPr>
        <w:rFonts w:hint="default"/>
        <w:lang w:val="en-US" w:eastAsia="en-US" w:bidi="ar-SA"/>
      </w:rPr>
    </w:lvl>
    <w:lvl w:ilvl="7" w:tplc="B242154E">
      <w:numFmt w:val="bullet"/>
      <w:lvlText w:val="•"/>
      <w:lvlJc w:val="left"/>
      <w:pPr>
        <w:ind w:left="7324" w:hanging="720"/>
      </w:pPr>
      <w:rPr>
        <w:rFonts w:hint="default"/>
        <w:lang w:val="en-US" w:eastAsia="en-US" w:bidi="ar-SA"/>
      </w:rPr>
    </w:lvl>
    <w:lvl w:ilvl="8" w:tplc="C63C9706">
      <w:numFmt w:val="bullet"/>
      <w:lvlText w:val="•"/>
      <w:lvlJc w:val="left"/>
      <w:pPr>
        <w:ind w:left="8136" w:hanging="720"/>
      </w:pPr>
      <w:rPr>
        <w:rFonts w:hint="default"/>
        <w:lang w:val="en-US" w:eastAsia="en-US" w:bidi="ar-SA"/>
      </w:rPr>
    </w:lvl>
  </w:abstractNum>
  <w:abstractNum w:abstractNumId="17" w15:restartNumberingAfterBreak="0">
    <w:nsid w:val="7F443850"/>
    <w:multiLevelType w:val="hybridMultilevel"/>
    <w:tmpl w:val="9CC82150"/>
    <w:name w:val="UnnamedList97408"/>
    <w:lvl w:ilvl="0" w:tplc="1EEED7AA">
      <w:start w:val="1"/>
      <w:numFmt w:val="decimal"/>
      <w:lvlText w:val="(%1)"/>
      <w:lvlJc w:val="left"/>
      <w:pPr>
        <w:ind w:left="720" w:hanging="360"/>
      </w:pPr>
      <w:rPr>
        <w:rFonts w:hint="default"/>
        <w:vertAlign w:val="superscript"/>
      </w:rPr>
    </w:lvl>
    <w:lvl w:ilvl="1" w:tplc="3D94A610" w:tentative="1">
      <w:start w:val="1"/>
      <w:numFmt w:val="lowerLetter"/>
      <w:lvlText w:val="%2."/>
      <w:lvlJc w:val="left"/>
      <w:pPr>
        <w:ind w:left="1440" w:hanging="360"/>
      </w:pPr>
    </w:lvl>
    <w:lvl w:ilvl="2" w:tplc="1C46EAA8" w:tentative="1">
      <w:start w:val="1"/>
      <w:numFmt w:val="lowerRoman"/>
      <w:lvlText w:val="%3."/>
      <w:lvlJc w:val="right"/>
      <w:pPr>
        <w:ind w:left="2160" w:hanging="180"/>
      </w:pPr>
    </w:lvl>
    <w:lvl w:ilvl="3" w:tplc="C2DAC98C" w:tentative="1">
      <w:start w:val="1"/>
      <w:numFmt w:val="decimal"/>
      <w:lvlText w:val="%4."/>
      <w:lvlJc w:val="left"/>
      <w:pPr>
        <w:ind w:left="2880" w:hanging="360"/>
      </w:pPr>
    </w:lvl>
    <w:lvl w:ilvl="4" w:tplc="A6907EBE" w:tentative="1">
      <w:start w:val="1"/>
      <w:numFmt w:val="lowerLetter"/>
      <w:lvlText w:val="%5."/>
      <w:lvlJc w:val="left"/>
      <w:pPr>
        <w:ind w:left="3600" w:hanging="360"/>
      </w:pPr>
    </w:lvl>
    <w:lvl w:ilvl="5" w:tplc="A82A0640" w:tentative="1">
      <w:start w:val="1"/>
      <w:numFmt w:val="lowerRoman"/>
      <w:lvlText w:val="%6."/>
      <w:lvlJc w:val="right"/>
      <w:pPr>
        <w:ind w:left="4320" w:hanging="180"/>
      </w:pPr>
    </w:lvl>
    <w:lvl w:ilvl="6" w:tplc="34F6221A" w:tentative="1">
      <w:start w:val="1"/>
      <w:numFmt w:val="decimal"/>
      <w:lvlText w:val="%7."/>
      <w:lvlJc w:val="left"/>
      <w:pPr>
        <w:ind w:left="5040" w:hanging="360"/>
      </w:pPr>
    </w:lvl>
    <w:lvl w:ilvl="7" w:tplc="B218DF2A" w:tentative="1">
      <w:start w:val="1"/>
      <w:numFmt w:val="lowerLetter"/>
      <w:lvlText w:val="%8."/>
      <w:lvlJc w:val="left"/>
      <w:pPr>
        <w:ind w:left="5760" w:hanging="360"/>
      </w:pPr>
    </w:lvl>
    <w:lvl w:ilvl="8" w:tplc="120A6704" w:tentative="1">
      <w:start w:val="1"/>
      <w:numFmt w:val="lowerRoman"/>
      <w:lvlText w:val="%9."/>
      <w:lvlJc w:val="right"/>
      <w:pPr>
        <w:ind w:left="6480" w:hanging="180"/>
      </w:pPr>
    </w:lvl>
  </w:abstractNum>
  <w:num w:numId="1" w16cid:durableId="1522931191">
    <w:abstractNumId w:val="3"/>
  </w:num>
  <w:num w:numId="2" w16cid:durableId="122619961">
    <w:abstractNumId w:val="6"/>
  </w:num>
  <w:num w:numId="3" w16cid:durableId="1045326862">
    <w:abstractNumId w:val="16"/>
  </w:num>
  <w:num w:numId="4" w16cid:durableId="1379861414">
    <w:abstractNumId w:val="14"/>
  </w:num>
  <w:num w:numId="5" w16cid:durableId="1785732538">
    <w:abstractNumId w:val="17"/>
  </w:num>
  <w:num w:numId="6" w16cid:durableId="926963783">
    <w:abstractNumId w:val="4"/>
  </w:num>
  <w:num w:numId="7" w16cid:durableId="1896695921">
    <w:abstractNumId w:val="12"/>
  </w:num>
  <w:num w:numId="8" w16cid:durableId="18775844">
    <w:abstractNumId w:val="8"/>
  </w:num>
  <w:num w:numId="9" w16cid:durableId="632564487">
    <w:abstractNumId w:val="1"/>
  </w:num>
  <w:num w:numId="10" w16cid:durableId="1102645027">
    <w:abstractNumId w:val="2"/>
  </w:num>
  <w:num w:numId="11" w16cid:durableId="1362441257">
    <w:abstractNumId w:val="13"/>
  </w:num>
  <w:num w:numId="12" w16cid:durableId="2007857754">
    <w:abstractNumId w:val="5"/>
  </w:num>
  <w:num w:numId="13" w16cid:durableId="1024328493">
    <w:abstractNumId w:val="15"/>
  </w:num>
  <w:num w:numId="14" w16cid:durableId="1973367348">
    <w:abstractNumId w:val="0"/>
  </w:num>
  <w:num w:numId="15" w16cid:durableId="1676107969">
    <w:abstractNumId w:val="9"/>
  </w:num>
  <w:num w:numId="16" w16cid:durableId="1887719028">
    <w:abstractNumId w:val="7"/>
  </w:num>
  <w:num w:numId="17" w16cid:durableId="1699811082">
    <w:abstractNumId w:val="10"/>
  </w:num>
  <w:num w:numId="18" w16cid:durableId="351340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LEGAL||1~69810961||2~2||3~Fortune Bay - LIFE Offering Document (October 2025)||5~KSIMPSON||6~KSIMPSON||8~DOC||10~10/20/2025 9:12:00 PM||11~10/20/2025 9:12:00 PM||13~93647||14~False||17~public||18~KSIMPSON||19~KSIMPSON||21~True||22~True||25~039332||26~039332-00140||29~CACCURSI||53~007||60~CORMARK SECURITIES INC.||61~FORTUNE BAY CORP.||64~Accursi, Chad||72~Capital Markets||74~Simpson, Kyle||75~Simpson, Kyle||76~Microsoft Word DOCX||77~Document||80~Simpson, Kyle||82~docx||85~10/20/2025 9:12:05 PM||99~1/1/0001 5:00:00 AM||102~False||106~C:\Users\ksimpson\AppData\Roaming\iManage\Work\Recent\CORMARK SECURITIES INC. re FORTUNE BAY CORP. - 039332-00140\Fortune Bay - LIFE Offering Document (October 2025)(69810961.2).docx||107~1/1/0001 5:00:00 AM||109~10/20/2025 9:12:53 PM||112~1/1/0001 12:00:00 AM||113~10/20/2025 9:12:00 PM||114~10/20/2025 9:12:00 PM||117~True||118~False||124~False||"/>
    <w:docVar w:name="zzmp10mSEGsValidated" w:val="1"/>
    <w:docVar w:name="zzmp10NoTrailerPromptID" w:val="LEGAL.69810961.2"/>
    <w:docVar w:name="zzmpCompatibilityMode" w:val="15"/>
    <w:docVar w:name="zzmpLegacyTrailerRemoved" w:val="True"/>
  </w:docVars>
  <w:rsids>
    <w:rsidRoot w:val="00DD344E"/>
    <w:rsid w:val="00001FCB"/>
    <w:rsid w:val="00006E6C"/>
    <w:rsid w:val="000117CF"/>
    <w:rsid w:val="0001528E"/>
    <w:rsid w:val="00017677"/>
    <w:rsid w:val="00017758"/>
    <w:rsid w:val="00017C7F"/>
    <w:rsid w:val="00022F9B"/>
    <w:rsid w:val="000230DD"/>
    <w:rsid w:val="0002414F"/>
    <w:rsid w:val="000302A8"/>
    <w:rsid w:val="00031E19"/>
    <w:rsid w:val="000372FA"/>
    <w:rsid w:val="00037436"/>
    <w:rsid w:val="0004018E"/>
    <w:rsid w:val="000412E9"/>
    <w:rsid w:val="00041809"/>
    <w:rsid w:val="00046EAF"/>
    <w:rsid w:val="000475F2"/>
    <w:rsid w:val="00050208"/>
    <w:rsid w:val="000560AB"/>
    <w:rsid w:val="000609FA"/>
    <w:rsid w:val="00061800"/>
    <w:rsid w:val="00062F90"/>
    <w:rsid w:val="0006773A"/>
    <w:rsid w:val="00074145"/>
    <w:rsid w:val="00074CA4"/>
    <w:rsid w:val="00080EB3"/>
    <w:rsid w:val="000829A7"/>
    <w:rsid w:val="00083185"/>
    <w:rsid w:val="000864B7"/>
    <w:rsid w:val="00090BB4"/>
    <w:rsid w:val="00092677"/>
    <w:rsid w:val="00094A3A"/>
    <w:rsid w:val="00097A1B"/>
    <w:rsid w:val="000A0A4E"/>
    <w:rsid w:val="000A43D3"/>
    <w:rsid w:val="000B04F3"/>
    <w:rsid w:val="000B0FAB"/>
    <w:rsid w:val="000B237D"/>
    <w:rsid w:val="000B3BEE"/>
    <w:rsid w:val="000B42A7"/>
    <w:rsid w:val="000B5D79"/>
    <w:rsid w:val="000B7DCA"/>
    <w:rsid w:val="000C0E54"/>
    <w:rsid w:val="000D14E7"/>
    <w:rsid w:val="000D207C"/>
    <w:rsid w:val="000D2A7A"/>
    <w:rsid w:val="000D6FDB"/>
    <w:rsid w:val="000E10FE"/>
    <w:rsid w:val="000E1DCD"/>
    <w:rsid w:val="000E4125"/>
    <w:rsid w:val="000F03F5"/>
    <w:rsid w:val="000F4CC6"/>
    <w:rsid w:val="000F560F"/>
    <w:rsid w:val="00103071"/>
    <w:rsid w:val="0011302C"/>
    <w:rsid w:val="0011340F"/>
    <w:rsid w:val="001146E8"/>
    <w:rsid w:val="001220FC"/>
    <w:rsid w:val="0012661F"/>
    <w:rsid w:val="00126A71"/>
    <w:rsid w:val="001307B7"/>
    <w:rsid w:val="00137470"/>
    <w:rsid w:val="00141205"/>
    <w:rsid w:val="00142EBF"/>
    <w:rsid w:val="00153089"/>
    <w:rsid w:val="00154297"/>
    <w:rsid w:val="0015586C"/>
    <w:rsid w:val="00155F5C"/>
    <w:rsid w:val="001606CE"/>
    <w:rsid w:val="00163B0F"/>
    <w:rsid w:val="001661BE"/>
    <w:rsid w:val="00170DC9"/>
    <w:rsid w:val="001748F6"/>
    <w:rsid w:val="00193101"/>
    <w:rsid w:val="001938C6"/>
    <w:rsid w:val="00195208"/>
    <w:rsid w:val="00195E44"/>
    <w:rsid w:val="001A115C"/>
    <w:rsid w:val="001A1343"/>
    <w:rsid w:val="001A2F76"/>
    <w:rsid w:val="001A7F21"/>
    <w:rsid w:val="001B2C7F"/>
    <w:rsid w:val="001B391A"/>
    <w:rsid w:val="001B6090"/>
    <w:rsid w:val="001B76A4"/>
    <w:rsid w:val="001C6508"/>
    <w:rsid w:val="001C7001"/>
    <w:rsid w:val="001D08FC"/>
    <w:rsid w:val="001D2A68"/>
    <w:rsid w:val="001E168B"/>
    <w:rsid w:val="001E5F87"/>
    <w:rsid w:val="001E69BF"/>
    <w:rsid w:val="001F083B"/>
    <w:rsid w:val="001F0A32"/>
    <w:rsid w:val="001F1DA8"/>
    <w:rsid w:val="001F29E1"/>
    <w:rsid w:val="001F343C"/>
    <w:rsid w:val="001F3910"/>
    <w:rsid w:val="001F4872"/>
    <w:rsid w:val="001F5F86"/>
    <w:rsid w:val="001F7162"/>
    <w:rsid w:val="0020365A"/>
    <w:rsid w:val="00205049"/>
    <w:rsid w:val="00210AC7"/>
    <w:rsid w:val="00210BBC"/>
    <w:rsid w:val="0021122F"/>
    <w:rsid w:val="0021295B"/>
    <w:rsid w:val="00213D5E"/>
    <w:rsid w:val="00221375"/>
    <w:rsid w:val="00221872"/>
    <w:rsid w:val="0022239E"/>
    <w:rsid w:val="00223F19"/>
    <w:rsid w:val="00223F9F"/>
    <w:rsid w:val="00224709"/>
    <w:rsid w:val="002256BC"/>
    <w:rsid w:val="002304F2"/>
    <w:rsid w:val="00234560"/>
    <w:rsid w:val="00243543"/>
    <w:rsid w:val="002446E3"/>
    <w:rsid w:val="00252E7E"/>
    <w:rsid w:val="0025549F"/>
    <w:rsid w:val="00256799"/>
    <w:rsid w:val="002649F0"/>
    <w:rsid w:val="002767BF"/>
    <w:rsid w:val="00276F7A"/>
    <w:rsid w:val="00286EAC"/>
    <w:rsid w:val="00290552"/>
    <w:rsid w:val="002941D6"/>
    <w:rsid w:val="002A016F"/>
    <w:rsid w:val="002A10A7"/>
    <w:rsid w:val="002A1648"/>
    <w:rsid w:val="002A278C"/>
    <w:rsid w:val="002A57CC"/>
    <w:rsid w:val="002A770B"/>
    <w:rsid w:val="002A7CAB"/>
    <w:rsid w:val="002B3D96"/>
    <w:rsid w:val="002B4064"/>
    <w:rsid w:val="002B4C6A"/>
    <w:rsid w:val="002B5569"/>
    <w:rsid w:val="002C2220"/>
    <w:rsid w:val="002C2F2B"/>
    <w:rsid w:val="002C4971"/>
    <w:rsid w:val="002C603B"/>
    <w:rsid w:val="002D1DB2"/>
    <w:rsid w:val="002D4A48"/>
    <w:rsid w:val="002E0EED"/>
    <w:rsid w:val="002E1617"/>
    <w:rsid w:val="002E2D37"/>
    <w:rsid w:val="002E309B"/>
    <w:rsid w:val="002E5CB2"/>
    <w:rsid w:val="002F1171"/>
    <w:rsid w:val="002F3CB6"/>
    <w:rsid w:val="002F3F80"/>
    <w:rsid w:val="002F7D45"/>
    <w:rsid w:val="002F7F59"/>
    <w:rsid w:val="0030100D"/>
    <w:rsid w:val="00301B6E"/>
    <w:rsid w:val="003040EC"/>
    <w:rsid w:val="00304D7A"/>
    <w:rsid w:val="00305052"/>
    <w:rsid w:val="0030510E"/>
    <w:rsid w:val="0030709E"/>
    <w:rsid w:val="00307A32"/>
    <w:rsid w:val="00314DDF"/>
    <w:rsid w:val="0031634C"/>
    <w:rsid w:val="003230E7"/>
    <w:rsid w:val="00323499"/>
    <w:rsid w:val="0032441D"/>
    <w:rsid w:val="0032579C"/>
    <w:rsid w:val="00325F52"/>
    <w:rsid w:val="00326049"/>
    <w:rsid w:val="00331E42"/>
    <w:rsid w:val="00333419"/>
    <w:rsid w:val="00333A73"/>
    <w:rsid w:val="00337120"/>
    <w:rsid w:val="003406C9"/>
    <w:rsid w:val="00340776"/>
    <w:rsid w:val="0034322C"/>
    <w:rsid w:val="00346B81"/>
    <w:rsid w:val="003527B1"/>
    <w:rsid w:val="00357047"/>
    <w:rsid w:val="003761B3"/>
    <w:rsid w:val="00392974"/>
    <w:rsid w:val="00393C01"/>
    <w:rsid w:val="003966AF"/>
    <w:rsid w:val="00397DED"/>
    <w:rsid w:val="003A2B1B"/>
    <w:rsid w:val="003A49A3"/>
    <w:rsid w:val="003A512F"/>
    <w:rsid w:val="003A57EE"/>
    <w:rsid w:val="003B0A3A"/>
    <w:rsid w:val="003B299F"/>
    <w:rsid w:val="003B3138"/>
    <w:rsid w:val="003B3BF3"/>
    <w:rsid w:val="003B5501"/>
    <w:rsid w:val="003B56C2"/>
    <w:rsid w:val="003B62AB"/>
    <w:rsid w:val="003B7E0E"/>
    <w:rsid w:val="003C038E"/>
    <w:rsid w:val="003C3057"/>
    <w:rsid w:val="003D2242"/>
    <w:rsid w:val="003E3A41"/>
    <w:rsid w:val="003E4C30"/>
    <w:rsid w:val="003E5EDC"/>
    <w:rsid w:val="003F1C39"/>
    <w:rsid w:val="003F407C"/>
    <w:rsid w:val="003F6C5F"/>
    <w:rsid w:val="003F70C3"/>
    <w:rsid w:val="003F77ED"/>
    <w:rsid w:val="003F7994"/>
    <w:rsid w:val="00402CBB"/>
    <w:rsid w:val="00405FBF"/>
    <w:rsid w:val="0040656A"/>
    <w:rsid w:val="00406DA6"/>
    <w:rsid w:val="00407208"/>
    <w:rsid w:val="00412002"/>
    <w:rsid w:val="004139EE"/>
    <w:rsid w:val="004144A5"/>
    <w:rsid w:val="00420310"/>
    <w:rsid w:val="00431C00"/>
    <w:rsid w:val="00432A85"/>
    <w:rsid w:val="00434808"/>
    <w:rsid w:val="0043552B"/>
    <w:rsid w:val="00444EB9"/>
    <w:rsid w:val="00451B52"/>
    <w:rsid w:val="00451E91"/>
    <w:rsid w:val="004524F8"/>
    <w:rsid w:val="00454FD6"/>
    <w:rsid w:val="004575BB"/>
    <w:rsid w:val="00457C6B"/>
    <w:rsid w:val="0046098A"/>
    <w:rsid w:val="004653FB"/>
    <w:rsid w:val="00466352"/>
    <w:rsid w:val="00466686"/>
    <w:rsid w:val="004674D2"/>
    <w:rsid w:val="00480E53"/>
    <w:rsid w:val="004821AD"/>
    <w:rsid w:val="004933C3"/>
    <w:rsid w:val="00493B63"/>
    <w:rsid w:val="00493E39"/>
    <w:rsid w:val="00494BB5"/>
    <w:rsid w:val="00497F2D"/>
    <w:rsid w:val="004A2A3D"/>
    <w:rsid w:val="004A6BF9"/>
    <w:rsid w:val="004B2449"/>
    <w:rsid w:val="004B2CD7"/>
    <w:rsid w:val="004B3293"/>
    <w:rsid w:val="004B4825"/>
    <w:rsid w:val="004B6283"/>
    <w:rsid w:val="004C0BD4"/>
    <w:rsid w:val="004C15EE"/>
    <w:rsid w:val="004C3AF2"/>
    <w:rsid w:val="004C4B38"/>
    <w:rsid w:val="004C6162"/>
    <w:rsid w:val="004C7321"/>
    <w:rsid w:val="004C7BF2"/>
    <w:rsid w:val="004D4346"/>
    <w:rsid w:val="004D477F"/>
    <w:rsid w:val="004D7902"/>
    <w:rsid w:val="004D7D7D"/>
    <w:rsid w:val="004E5EF2"/>
    <w:rsid w:val="004E7D27"/>
    <w:rsid w:val="004F0D48"/>
    <w:rsid w:val="004F10C1"/>
    <w:rsid w:val="00502F38"/>
    <w:rsid w:val="0050783D"/>
    <w:rsid w:val="00510B5B"/>
    <w:rsid w:val="00510DF2"/>
    <w:rsid w:val="00511659"/>
    <w:rsid w:val="00511E06"/>
    <w:rsid w:val="00512907"/>
    <w:rsid w:val="00520302"/>
    <w:rsid w:val="005222B5"/>
    <w:rsid w:val="0052266E"/>
    <w:rsid w:val="00526539"/>
    <w:rsid w:val="00531242"/>
    <w:rsid w:val="00533085"/>
    <w:rsid w:val="00544B77"/>
    <w:rsid w:val="0054617B"/>
    <w:rsid w:val="00551FD1"/>
    <w:rsid w:val="0055720C"/>
    <w:rsid w:val="0056184C"/>
    <w:rsid w:val="00565B64"/>
    <w:rsid w:val="0056654F"/>
    <w:rsid w:val="0057317A"/>
    <w:rsid w:val="00574922"/>
    <w:rsid w:val="005871DF"/>
    <w:rsid w:val="00593042"/>
    <w:rsid w:val="0059405E"/>
    <w:rsid w:val="00594EA2"/>
    <w:rsid w:val="0059518C"/>
    <w:rsid w:val="00596740"/>
    <w:rsid w:val="005A046E"/>
    <w:rsid w:val="005A3839"/>
    <w:rsid w:val="005A4DE0"/>
    <w:rsid w:val="005A7BB7"/>
    <w:rsid w:val="005B18F5"/>
    <w:rsid w:val="005B2F7D"/>
    <w:rsid w:val="005B465D"/>
    <w:rsid w:val="005C378D"/>
    <w:rsid w:val="005C4B8E"/>
    <w:rsid w:val="005C7338"/>
    <w:rsid w:val="005D0803"/>
    <w:rsid w:val="005D10F0"/>
    <w:rsid w:val="005D37A4"/>
    <w:rsid w:val="005D7247"/>
    <w:rsid w:val="005E2708"/>
    <w:rsid w:val="005E3C09"/>
    <w:rsid w:val="005F1FCD"/>
    <w:rsid w:val="005F4774"/>
    <w:rsid w:val="005F4F91"/>
    <w:rsid w:val="005F7522"/>
    <w:rsid w:val="005F79FE"/>
    <w:rsid w:val="006003B1"/>
    <w:rsid w:val="00605FDE"/>
    <w:rsid w:val="00606200"/>
    <w:rsid w:val="00610D71"/>
    <w:rsid w:val="00611CE0"/>
    <w:rsid w:val="006153B1"/>
    <w:rsid w:val="00625327"/>
    <w:rsid w:val="00625393"/>
    <w:rsid w:val="0063145E"/>
    <w:rsid w:val="006430B5"/>
    <w:rsid w:val="0064487D"/>
    <w:rsid w:val="006463A0"/>
    <w:rsid w:val="00652271"/>
    <w:rsid w:val="006539E1"/>
    <w:rsid w:val="00654862"/>
    <w:rsid w:val="00656880"/>
    <w:rsid w:val="00657130"/>
    <w:rsid w:val="006647B8"/>
    <w:rsid w:val="00665245"/>
    <w:rsid w:val="00667F94"/>
    <w:rsid w:val="0067029F"/>
    <w:rsid w:val="00670327"/>
    <w:rsid w:val="00673585"/>
    <w:rsid w:val="00675A86"/>
    <w:rsid w:val="00685B54"/>
    <w:rsid w:val="00685DE4"/>
    <w:rsid w:val="00686D1A"/>
    <w:rsid w:val="00691708"/>
    <w:rsid w:val="006920FD"/>
    <w:rsid w:val="006B31CA"/>
    <w:rsid w:val="006B58FA"/>
    <w:rsid w:val="006B6AB9"/>
    <w:rsid w:val="006C7486"/>
    <w:rsid w:val="006E04D7"/>
    <w:rsid w:val="006E1870"/>
    <w:rsid w:val="006E1998"/>
    <w:rsid w:val="006E1B78"/>
    <w:rsid w:val="006E3FC3"/>
    <w:rsid w:val="006E40AC"/>
    <w:rsid w:val="006E54FE"/>
    <w:rsid w:val="006F2716"/>
    <w:rsid w:val="007005CD"/>
    <w:rsid w:val="00700AC8"/>
    <w:rsid w:val="00702254"/>
    <w:rsid w:val="0070723F"/>
    <w:rsid w:val="007108A5"/>
    <w:rsid w:val="00712780"/>
    <w:rsid w:val="0071523F"/>
    <w:rsid w:val="0072278B"/>
    <w:rsid w:val="00722CAE"/>
    <w:rsid w:val="00727434"/>
    <w:rsid w:val="007279B4"/>
    <w:rsid w:val="00727C60"/>
    <w:rsid w:val="00731B38"/>
    <w:rsid w:val="00733C78"/>
    <w:rsid w:val="00734803"/>
    <w:rsid w:val="007350E1"/>
    <w:rsid w:val="00746399"/>
    <w:rsid w:val="00750EE1"/>
    <w:rsid w:val="00752037"/>
    <w:rsid w:val="007538BB"/>
    <w:rsid w:val="0076090D"/>
    <w:rsid w:val="00762498"/>
    <w:rsid w:val="00764DE7"/>
    <w:rsid w:val="00772544"/>
    <w:rsid w:val="00773AEF"/>
    <w:rsid w:val="00780B8D"/>
    <w:rsid w:val="00780F62"/>
    <w:rsid w:val="007827D1"/>
    <w:rsid w:val="00783A42"/>
    <w:rsid w:val="0078520D"/>
    <w:rsid w:val="00785321"/>
    <w:rsid w:val="0079613A"/>
    <w:rsid w:val="007966A3"/>
    <w:rsid w:val="007974C5"/>
    <w:rsid w:val="007A0C27"/>
    <w:rsid w:val="007A470C"/>
    <w:rsid w:val="007A5160"/>
    <w:rsid w:val="007A6793"/>
    <w:rsid w:val="007A6C63"/>
    <w:rsid w:val="007B0224"/>
    <w:rsid w:val="007B0A2C"/>
    <w:rsid w:val="007B6EE2"/>
    <w:rsid w:val="007C71C0"/>
    <w:rsid w:val="007E1F33"/>
    <w:rsid w:val="007E371B"/>
    <w:rsid w:val="007E3967"/>
    <w:rsid w:val="007E5051"/>
    <w:rsid w:val="007E5404"/>
    <w:rsid w:val="007E74AE"/>
    <w:rsid w:val="007F34AF"/>
    <w:rsid w:val="007F493B"/>
    <w:rsid w:val="007F626E"/>
    <w:rsid w:val="0080196F"/>
    <w:rsid w:val="0080547F"/>
    <w:rsid w:val="00806D6A"/>
    <w:rsid w:val="0081133B"/>
    <w:rsid w:val="00813E12"/>
    <w:rsid w:val="008141B3"/>
    <w:rsid w:val="00816C11"/>
    <w:rsid w:val="00822369"/>
    <w:rsid w:val="008241D4"/>
    <w:rsid w:val="0083186D"/>
    <w:rsid w:val="00832AA5"/>
    <w:rsid w:val="008442B5"/>
    <w:rsid w:val="008443D8"/>
    <w:rsid w:val="00846450"/>
    <w:rsid w:val="00847B81"/>
    <w:rsid w:val="00853C4A"/>
    <w:rsid w:val="00855086"/>
    <w:rsid w:val="008565D7"/>
    <w:rsid w:val="00860E30"/>
    <w:rsid w:val="0086119A"/>
    <w:rsid w:val="00861497"/>
    <w:rsid w:val="00862823"/>
    <w:rsid w:val="008636F0"/>
    <w:rsid w:val="008676CF"/>
    <w:rsid w:val="0087140E"/>
    <w:rsid w:val="00873B46"/>
    <w:rsid w:val="008749AD"/>
    <w:rsid w:val="00874FE5"/>
    <w:rsid w:val="00880995"/>
    <w:rsid w:val="00891909"/>
    <w:rsid w:val="008937AE"/>
    <w:rsid w:val="008A007A"/>
    <w:rsid w:val="008A3D62"/>
    <w:rsid w:val="008A464A"/>
    <w:rsid w:val="008A4B26"/>
    <w:rsid w:val="008B3369"/>
    <w:rsid w:val="008B417E"/>
    <w:rsid w:val="008B537C"/>
    <w:rsid w:val="008B5F4D"/>
    <w:rsid w:val="008C14B9"/>
    <w:rsid w:val="008C1B11"/>
    <w:rsid w:val="008C462D"/>
    <w:rsid w:val="008C6A7C"/>
    <w:rsid w:val="008D6918"/>
    <w:rsid w:val="008D6B2E"/>
    <w:rsid w:val="008E764B"/>
    <w:rsid w:val="008F02E6"/>
    <w:rsid w:val="008F0F0E"/>
    <w:rsid w:val="008F3439"/>
    <w:rsid w:val="008F4DB1"/>
    <w:rsid w:val="008F5855"/>
    <w:rsid w:val="008F5A12"/>
    <w:rsid w:val="008F5AFA"/>
    <w:rsid w:val="00903A6C"/>
    <w:rsid w:val="0090441A"/>
    <w:rsid w:val="00904A54"/>
    <w:rsid w:val="00906F27"/>
    <w:rsid w:val="00907B5D"/>
    <w:rsid w:val="00915B1F"/>
    <w:rsid w:val="00916BF1"/>
    <w:rsid w:val="009201F4"/>
    <w:rsid w:val="009213EF"/>
    <w:rsid w:val="00922E3C"/>
    <w:rsid w:val="00923DA6"/>
    <w:rsid w:val="00924265"/>
    <w:rsid w:val="009258F9"/>
    <w:rsid w:val="00931741"/>
    <w:rsid w:val="009333E3"/>
    <w:rsid w:val="009370B2"/>
    <w:rsid w:val="00946433"/>
    <w:rsid w:val="00947AB8"/>
    <w:rsid w:val="00947BD5"/>
    <w:rsid w:val="0095339C"/>
    <w:rsid w:val="00964A85"/>
    <w:rsid w:val="00971227"/>
    <w:rsid w:val="00973B20"/>
    <w:rsid w:val="00977D9C"/>
    <w:rsid w:val="00982E54"/>
    <w:rsid w:val="009838CB"/>
    <w:rsid w:val="00983B1E"/>
    <w:rsid w:val="00987E59"/>
    <w:rsid w:val="009940DF"/>
    <w:rsid w:val="00994764"/>
    <w:rsid w:val="00996841"/>
    <w:rsid w:val="009975E5"/>
    <w:rsid w:val="00997B81"/>
    <w:rsid w:val="009A1A73"/>
    <w:rsid w:val="009A49B0"/>
    <w:rsid w:val="009B0B89"/>
    <w:rsid w:val="009B2C4F"/>
    <w:rsid w:val="009B4079"/>
    <w:rsid w:val="009B5FFC"/>
    <w:rsid w:val="009B7617"/>
    <w:rsid w:val="009B799A"/>
    <w:rsid w:val="009C0280"/>
    <w:rsid w:val="009C0817"/>
    <w:rsid w:val="009C20E7"/>
    <w:rsid w:val="009C2413"/>
    <w:rsid w:val="009C66FA"/>
    <w:rsid w:val="009D305F"/>
    <w:rsid w:val="009D37F7"/>
    <w:rsid w:val="009D46D3"/>
    <w:rsid w:val="009D4D9F"/>
    <w:rsid w:val="009E0440"/>
    <w:rsid w:val="009E1428"/>
    <w:rsid w:val="009E4808"/>
    <w:rsid w:val="009E7B03"/>
    <w:rsid w:val="009F4BB7"/>
    <w:rsid w:val="009F7928"/>
    <w:rsid w:val="00A00064"/>
    <w:rsid w:val="00A02AB3"/>
    <w:rsid w:val="00A0446E"/>
    <w:rsid w:val="00A04B85"/>
    <w:rsid w:val="00A06BD4"/>
    <w:rsid w:val="00A075E0"/>
    <w:rsid w:val="00A07906"/>
    <w:rsid w:val="00A15A7E"/>
    <w:rsid w:val="00A15F0F"/>
    <w:rsid w:val="00A216AD"/>
    <w:rsid w:val="00A24405"/>
    <w:rsid w:val="00A252DE"/>
    <w:rsid w:val="00A30243"/>
    <w:rsid w:val="00A30350"/>
    <w:rsid w:val="00A35017"/>
    <w:rsid w:val="00A35F7E"/>
    <w:rsid w:val="00A4311F"/>
    <w:rsid w:val="00A50103"/>
    <w:rsid w:val="00A55623"/>
    <w:rsid w:val="00A579C5"/>
    <w:rsid w:val="00A608DB"/>
    <w:rsid w:val="00A63D57"/>
    <w:rsid w:val="00A64A16"/>
    <w:rsid w:val="00A64EE3"/>
    <w:rsid w:val="00A74D0C"/>
    <w:rsid w:val="00A77452"/>
    <w:rsid w:val="00A80B02"/>
    <w:rsid w:val="00A81BC0"/>
    <w:rsid w:val="00A9318E"/>
    <w:rsid w:val="00A931FA"/>
    <w:rsid w:val="00AA0C25"/>
    <w:rsid w:val="00AA1024"/>
    <w:rsid w:val="00AA43C8"/>
    <w:rsid w:val="00AA6D35"/>
    <w:rsid w:val="00AB0EAE"/>
    <w:rsid w:val="00AB1C4F"/>
    <w:rsid w:val="00AB52B9"/>
    <w:rsid w:val="00AC68CD"/>
    <w:rsid w:val="00AE0F6D"/>
    <w:rsid w:val="00AE617C"/>
    <w:rsid w:val="00AE7BC6"/>
    <w:rsid w:val="00AF14A3"/>
    <w:rsid w:val="00AF1C09"/>
    <w:rsid w:val="00AF2EA7"/>
    <w:rsid w:val="00B003EA"/>
    <w:rsid w:val="00B0195A"/>
    <w:rsid w:val="00B0287E"/>
    <w:rsid w:val="00B05A55"/>
    <w:rsid w:val="00B13291"/>
    <w:rsid w:val="00B20DD9"/>
    <w:rsid w:val="00B26207"/>
    <w:rsid w:val="00B27890"/>
    <w:rsid w:val="00B30BDE"/>
    <w:rsid w:val="00B315E9"/>
    <w:rsid w:val="00B31FBA"/>
    <w:rsid w:val="00B36DEE"/>
    <w:rsid w:val="00B41F39"/>
    <w:rsid w:val="00B41FD6"/>
    <w:rsid w:val="00B45671"/>
    <w:rsid w:val="00B4633E"/>
    <w:rsid w:val="00B504B6"/>
    <w:rsid w:val="00B51B97"/>
    <w:rsid w:val="00B52D5D"/>
    <w:rsid w:val="00B55F05"/>
    <w:rsid w:val="00B61FB9"/>
    <w:rsid w:val="00B65177"/>
    <w:rsid w:val="00B720E3"/>
    <w:rsid w:val="00B721FF"/>
    <w:rsid w:val="00B836D8"/>
    <w:rsid w:val="00B83B43"/>
    <w:rsid w:val="00B85428"/>
    <w:rsid w:val="00B921B3"/>
    <w:rsid w:val="00B92288"/>
    <w:rsid w:val="00B963F2"/>
    <w:rsid w:val="00B96D45"/>
    <w:rsid w:val="00B97815"/>
    <w:rsid w:val="00B97CB3"/>
    <w:rsid w:val="00BA0054"/>
    <w:rsid w:val="00BA0E01"/>
    <w:rsid w:val="00BA2A57"/>
    <w:rsid w:val="00BA680A"/>
    <w:rsid w:val="00BA700E"/>
    <w:rsid w:val="00BB3B6F"/>
    <w:rsid w:val="00BB3E5D"/>
    <w:rsid w:val="00BB61F7"/>
    <w:rsid w:val="00BB6DD9"/>
    <w:rsid w:val="00BC127C"/>
    <w:rsid w:val="00BC6555"/>
    <w:rsid w:val="00BC6A69"/>
    <w:rsid w:val="00BC7489"/>
    <w:rsid w:val="00BD7B33"/>
    <w:rsid w:val="00BE322C"/>
    <w:rsid w:val="00BE6705"/>
    <w:rsid w:val="00BE73FA"/>
    <w:rsid w:val="00BF08F4"/>
    <w:rsid w:val="00BF146C"/>
    <w:rsid w:val="00BF4989"/>
    <w:rsid w:val="00BF53AE"/>
    <w:rsid w:val="00BF5602"/>
    <w:rsid w:val="00BF6A49"/>
    <w:rsid w:val="00C01D1E"/>
    <w:rsid w:val="00C032D9"/>
    <w:rsid w:val="00C0636D"/>
    <w:rsid w:val="00C07003"/>
    <w:rsid w:val="00C0767A"/>
    <w:rsid w:val="00C07EE0"/>
    <w:rsid w:val="00C101B8"/>
    <w:rsid w:val="00C136FD"/>
    <w:rsid w:val="00C13C79"/>
    <w:rsid w:val="00C15D51"/>
    <w:rsid w:val="00C17848"/>
    <w:rsid w:val="00C21B94"/>
    <w:rsid w:val="00C224FE"/>
    <w:rsid w:val="00C22F3C"/>
    <w:rsid w:val="00C26937"/>
    <w:rsid w:val="00C31472"/>
    <w:rsid w:val="00C349F2"/>
    <w:rsid w:val="00C35892"/>
    <w:rsid w:val="00C35BB1"/>
    <w:rsid w:val="00C3694B"/>
    <w:rsid w:val="00C37BAD"/>
    <w:rsid w:val="00C4626E"/>
    <w:rsid w:val="00C469C3"/>
    <w:rsid w:val="00C552A8"/>
    <w:rsid w:val="00C56443"/>
    <w:rsid w:val="00C61373"/>
    <w:rsid w:val="00C62B0C"/>
    <w:rsid w:val="00C63CEB"/>
    <w:rsid w:val="00C65238"/>
    <w:rsid w:val="00C673D7"/>
    <w:rsid w:val="00C70FDE"/>
    <w:rsid w:val="00C75075"/>
    <w:rsid w:val="00C77974"/>
    <w:rsid w:val="00C83CCA"/>
    <w:rsid w:val="00C87E9C"/>
    <w:rsid w:val="00C9075D"/>
    <w:rsid w:val="00C920FF"/>
    <w:rsid w:val="00C96A07"/>
    <w:rsid w:val="00CA164C"/>
    <w:rsid w:val="00CA4B45"/>
    <w:rsid w:val="00CA5B1A"/>
    <w:rsid w:val="00CB5C02"/>
    <w:rsid w:val="00CC0D0C"/>
    <w:rsid w:val="00CC134D"/>
    <w:rsid w:val="00CC1A26"/>
    <w:rsid w:val="00CC3C7E"/>
    <w:rsid w:val="00CC4C04"/>
    <w:rsid w:val="00CD6391"/>
    <w:rsid w:val="00CE0728"/>
    <w:rsid w:val="00CE0BB2"/>
    <w:rsid w:val="00CE1D36"/>
    <w:rsid w:val="00CE22AB"/>
    <w:rsid w:val="00CE5440"/>
    <w:rsid w:val="00CE5537"/>
    <w:rsid w:val="00CE76E7"/>
    <w:rsid w:val="00CF6838"/>
    <w:rsid w:val="00D02EE7"/>
    <w:rsid w:val="00D03FDD"/>
    <w:rsid w:val="00D061AA"/>
    <w:rsid w:val="00D1272E"/>
    <w:rsid w:val="00D12F59"/>
    <w:rsid w:val="00D21989"/>
    <w:rsid w:val="00D227B7"/>
    <w:rsid w:val="00D310B7"/>
    <w:rsid w:val="00D313BF"/>
    <w:rsid w:val="00D429D5"/>
    <w:rsid w:val="00D44B24"/>
    <w:rsid w:val="00D65A0A"/>
    <w:rsid w:val="00D65CBD"/>
    <w:rsid w:val="00D668F1"/>
    <w:rsid w:val="00D6739B"/>
    <w:rsid w:val="00D67E18"/>
    <w:rsid w:val="00D70B5F"/>
    <w:rsid w:val="00D71154"/>
    <w:rsid w:val="00D72EB0"/>
    <w:rsid w:val="00D72FE4"/>
    <w:rsid w:val="00D73438"/>
    <w:rsid w:val="00D7473E"/>
    <w:rsid w:val="00D76042"/>
    <w:rsid w:val="00D768FE"/>
    <w:rsid w:val="00D82BC6"/>
    <w:rsid w:val="00D86604"/>
    <w:rsid w:val="00D92598"/>
    <w:rsid w:val="00D96331"/>
    <w:rsid w:val="00D969FC"/>
    <w:rsid w:val="00D96AC5"/>
    <w:rsid w:val="00D96F60"/>
    <w:rsid w:val="00DA0464"/>
    <w:rsid w:val="00DA071F"/>
    <w:rsid w:val="00DA169B"/>
    <w:rsid w:val="00DA19F4"/>
    <w:rsid w:val="00DA7038"/>
    <w:rsid w:val="00DB0136"/>
    <w:rsid w:val="00DB1B4E"/>
    <w:rsid w:val="00DB2838"/>
    <w:rsid w:val="00DB5121"/>
    <w:rsid w:val="00DC1659"/>
    <w:rsid w:val="00DC1977"/>
    <w:rsid w:val="00DC4B11"/>
    <w:rsid w:val="00DC7722"/>
    <w:rsid w:val="00DD1A04"/>
    <w:rsid w:val="00DD2607"/>
    <w:rsid w:val="00DD344E"/>
    <w:rsid w:val="00DE069F"/>
    <w:rsid w:val="00DE2143"/>
    <w:rsid w:val="00DE676C"/>
    <w:rsid w:val="00DE69BB"/>
    <w:rsid w:val="00DF1743"/>
    <w:rsid w:val="00DF4802"/>
    <w:rsid w:val="00DF50BC"/>
    <w:rsid w:val="00DF6FD0"/>
    <w:rsid w:val="00DF723C"/>
    <w:rsid w:val="00DF7351"/>
    <w:rsid w:val="00E0368D"/>
    <w:rsid w:val="00E04444"/>
    <w:rsid w:val="00E0486B"/>
    <w:rsid w:val="00E04D17"/>
    <w:rsid w:val="00E13969"/>
    <w:rsid w:val="00E15AB2"/>
    <w:rsid w:val="00E20B11"/>
    <w:rsid w:val="00E2110C"/>
    <w:rsid w:val="00E2116F"/>
    <w:rsid w:val="00E2550C"/>
    <w:rsid w:val="00E25CEA"/>
    <w:rsid w:val="00E25EA1"/>
    <w:rsid w:val="00E26639"/>
    <w:rsid w:val="00E27DD6"/>
    <w:rsid w:val="00E30BC2"/>
    <w:rsid w:val="00E320B2"/>
    <w:rsid w:val="00E36ED7"/>
    <w:rsid w:val="00E568CF"/>
    <w:rsid w:val="00E605A0"/>
    <w:rsid w:val="00E63369"/>
    <w:rsid w:val="00E65637"/>
    <w:rsid w:val="00E71C1F"/>
    <w:rsid w:val="00E72665"/>
    <w:rsid w:val="00E76D1A"/>
    <w:rsid w:val="00E904C3"/>
    <w:rsid w:val="00E90FBA"/>
    <w:rsid w:val="00E971F1"/>
    <w:rsid w:val="00EA16C3"/>
    <w:rsid w:val="00EA594D"/>
    <w:rsid w:val="00EB03C7"/>
    <w:rsid w:val="00EB0EC3"/>
    <w:rsid w:val="00EB3F58"/>
    <w:rsid w:val="00EB5464"/>
    <w:rsid w:val="00EC7CED"/>
    <w:rsid w:val="00ED06CA"/>
    <w:rsid w:val="00EE2EA9"/>
    <w:rsid w:val="00EE31BF"/>
    <w:rsid w:val="00EE3CAB"/>
    <w:rsid w:val="00EF5634"/>
    <w:rsid w:val="00F013CF"/>
    <w:rsid w:val="00F0246F"/>
    <w:rsid w:val="00F05D40"/>
    <w:rsid w:val="00F1067D"/>
    <w:rsid w:val="00F10A44"/>
    <w:rsid w:val="00F12B15"/>
    <w:rsid w:val="00F13E98"/>
    <w:rsid w:val="00F1417D"/>
    <w:rsid w:val="00F14234"/>
    <w:rsid w:val="00F14607"/>
    <w:rsid w:val="00F14648"/>
    <w:rsid w:val="00F15FD6"/>
    <w:rsid w:val="00F16CBE"/>
    <w:rsid w:val="00F224C6"/>
    <w:rsid w:val="00F231DC"/>
    <w:rsid w:val="00F231F2"/>
    <w:rsid w:val="00F23451"/>
    <w:rsid w:val="00F254F7"/>
    <w:rsid w:val="00F256D9"/>
    <w:rsid w:val="00F32C57"/>
    <w:rsid w:val="00F342A8"/>
    <w:rsid w:val="00F347A3"/>
    <w:rsid w:val="00F34869"/>
    <w:rsid w:val="00F41806"/>
    <w:rsid w:val="00F436D6"/>
    <w:rsid w:val="00F468F0"/>
    <w:rsid w:val="00F52193"/>
    <w:rsid w:val="00F523A6"/>
    <w:rsid w:val="00F52813"/>
    <w:rsid w:val="00F53035"/>
    <w:rsid w:val="00F530BF"/>
    <w:rsid w:val="00F535C3"/>
    <w:rsid w:val="00F55516"/>
    <w:rsid w:val="00F55B1E"/>
    <w:rsid w:val="00F60133"/>
    <w:rsid w:val="00F619BC"/>
    <w:rsid w:val="00F62DFC"/>
    <w:rsid w:val="00F65061"/>
    <w:rsid w:val="00F665E6"/>
    <w:rsid w:val="00F70052"/>
    <w:rsid w:val="00F738C8"/>
    <w:rsid w:val="00F81050"/>
    <w:rsid w:val="00F82EF8"/>
    <w:rsid w:val="00F84AEF"/>
    <w:rsid w:val="00F873FF"/>
    <w:rsid w:val="00FA34B1"/>
    <w:rsid w:val="00FA402E"/>
    <w:rsid w:val="00FA569E"/>
    <w:rsid w:val="00FA6353"/>
    <w:rsid w:val="00FA6366"/>
    <w:rsid w:val="00FB012C"/>
    <w:rsid w:val="00FB2DDA"/>
    <w:rsid w:val="00FB4EE0"/>
    <w:rsid w:val="00FB7819"/>
    <w:rsid w:val="00FC017A"/>
    <w:rsid w:val="00FD1321"/>
    <w:rsid w:val="00FD1C23"/>
    <w:rsid w:val="00FD2870"/>
    <w:rsid w:val="00FD2C86"/>
    <w:rsid w:val="00FE1706"/>
    <w:rsid w:val="00FE1D98"/>
    <w:rsid w:val="00FE3139"/>
    <w:rsid w:val="00FE3F23"/>
    <w:rsid w:val="00FE639E"/>
    <w:rsid w:val="00FE7205"/>
    <w:rsid w:val="00FF0EA3"/>
    <w:rsid w:val="00FF5769"/>
    <w:rsid w:val="00FF58F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6841"/>
  <w15:docId w15:val="{0AFB7164-D128-491B-AEFA-255011FD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6A71"/>
    <w:pPr>
      <w:spacing w:after="240"/>
      <w:ind w:left="202"/>
      <w:outlineLvl w:val="0"/>
    </w:pPr>
    <w:rPr>
      <w:rFonts w:eastAsia="Arial"/>
      <w:b/>
      <w:bCs/>
      <w:szCs w:val="20"/>
    </w:rPr>
  </w:style>
  <w:style w:type="paragraph" w:styleId="Heading2">
    <w:name w:val="heading 2"/>
    <w:basedOn w:val="Normal"/>
    <w:next w:val="Normal"/>
    <w:link w:val="Heading2Char"/>
    <w:uiPriority w:val="9"/>
    <w:unhideWhenUsed/>
    <w:qFormat/>
    <w:rsid w:val="007350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6A71"/>
    <w:pPr>
      <w:spacing w:after="240"/>
    </w:pPr>
    <w:rPr>
      <w:szCs w:val="20"/>
    </w:rPr>
  </w:style>
  <w:style w:type="paragraph" w:styleId="ListParagraph">
    <w:name w:val="List Paragraph"/>
    <w:basedOn w:val="Normal"/>
    <w:uiPriority w:val="34"/>
    <w:qFormat/>
    <w:pPr>
      <w:ind w:left="920" w:right="319" w:hanging="360"/>
      <w:jc w:val="both"/>
    </w:pPr>
  </w:style>
  <w:style w:type="paragraph" w:customStyle="1" w:styleId="TableParagraph">
    <w:name w:val="Table Paragraph"/>
    <w:basedOn w:val="Normal"/>
    <w:uiPriority w:val="1"/>
    <w:qFormat/>
    <w:pPr>
      <w:spacing w:before="59"/>
    </w:pPr>
  </w:style>
  <w:style w:type="character" w:customStyle="1" w:styleId="Heading2Char">
    <w:name w:val="Heading 2 Char"/>
    <w:basedOn w:val="DefaultParagraphFont"/>
    <w:link w:val="Heading2"/>
    <w:uiPriority w:val="9"/>
    <w:rsid w:val="007350E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65A0A"/>
    <w:pPr>
      <w:tabs>
        <w:tab w:val="center" w:pos="4680"/>
        <w:tab w:val="right" w:pos="9360"/>
      </w:tabs>
    </w:pPr>
  </w:style>
  <w:style w:type="character" w:customStyle="1" w:styleId="HeaderChar">
    <w:name w:val="Header Char"/>
    <w:basedOn w:val="DefaultParagraphFont"/>
    <w:link w:val="Header"/>
    <w:uiPriority w:val="99"/>
    <w:rsid w:val="00D65A0A"/>
    <w:rPr>
      <w:rFonts w:ascii="Arial MT" w:eastAsia="Arial MT" w:hAnsi="Arial MT" w:cs="Arial MT"/>
    </w:rPr>
  </w:style>
  <w:style w:type="paragraph" w:styleId="Footer">
    <w:name w:val="footer"/>
    <w:basedOn w:val="Normal"/>
    <w:link w:val="FooterChar"/>
    <w:uiPriority w:val="99"/>
    <w:unhideWhenUsed/>
    <w:rsid w:val="00D65A0A"/>
    <w:pPr>
      <w:tabs>
        <w:tab w:val="center" w:pos="4680"/>
        <w:tab w:val="right" w:pos="9360"/>
      </w:tabs>
    </w:pPr>
  </w:style>
  <w:style w:type="character" w:customStyle="1" w:styleId="FooterChar">
    <w:name w:val="Footer Char"/>
    <w:basedOn w:val="DefaultParagraphFont"/>
    <w:link w:val="Footer"/>
    <w:uiPriority w:val="99"/>
    <w:rsid w:val="00D65A0A"/>
    <w:rPr>
      <w:rFonts w:ascii="Arial MT" w:eastAsia="Arial MT" w:hAnsi="Arial MT" w:cs="Arial MT"/>
    </w:rPr>
  </w:style>
  <w:style w:type="paragraph" w:customStyle="1" w:styleId="MacPacTrailer">
    <w:name w:val="MacPac Trailer"/>
    <w:rsid w:val="00402CBB"/>
    <w:pPr>
      <w:autoSpaceDE/>
      <w:autoSpaceDN/>
      <w:spacing w:line="200" w:lineRule="exact"/>
    </w:pPr>
    <w:rPr>
      <w:rFonts w:eastAsia="Times New Roman" w:cs="Times New Roman"/>
      <w:sz w:val="16"/>
    </w:rPr>
  </w:style>
  <w:style w:type="character" w:styleId="PlaceholderText">
    <w:name w:val="Placeholder Text"/>
    <w:basedOn w:val="DefaultParagraphFont"/>
    <w:uiPriority w:val="99"/>
    <w:semiHidden/>
    <w:rsid w:val="00D65A0A"/>
    <w:rPr>
      <w:color w:val="808080"/>
    </w:rPr>
  </w:style>
  <w:style w:type="paragraph" w:styleId="FootnoteText">
    <w:name w:val="footnote text"/>
    <w:basedOn w:val="Normal"/>
    <w:link w:val="FootnoteTextChar"/>
    <w:uiPriority w:val="99"/>
    <w:semiHidden/>
    <w:unhideWhenUsed/>
    <w:rsid w:val="00657130"/>
    <w:rPr>
      <w:szCs w:val="20"/>
    </w:rPr>
  </w:style>
  <w:style w:type="character" w:customStyle="1" w:styleId="FootnoteTextChar">
    <w:name w:val="Footnote Text Char"/>
    <w:basedOn w:val="DefaultParagraphFont"/>
    <w:link w:val="FootnoteText"/>
    <w:uiPriority w:val="99"/>
    <w:semiHidden/>
    <w:rsid w:val="00657130"/>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657130"/>
    <w:rPr>
      <w:vertAlign w:val="superscript"/>
    </w:rPr>
  </w:style>
  <w:style w:type="character" w:customStyle="1" w:styleId="BodyTextChar">
    <w:name w:val="Body Text Char"/>
    <w:basedOn w:val="DefaultParagraphFont"/>
    <w:link w:val="BodyText"/>
    <w:uiPriority w:val="1"/>
    <w:rsid w:val="00126A71"/>
    <w:rPr>
      <w:szCs w:val="20"/>
    </w:rPr>
  </w:style>
  <w:style w:type="character" w:styleId="CommentReference">
    <w:name w:val="annotation reference"/>
    <w:basedOn w:val="DefaultParagraphFont"/>
    <w:uiPriority w:val="99"/>
    <w:semiHidden/>
    <w:unhideWhenUsed/>
    <w:rsid w:val="00B963F2"/>
    <w:rPr>
      <w:sz w:val="16"/>
      <w:szCs w:val="16"/>
    </w:rPr>
  </w:style>
  <w:style w:type="paragraph" w:styleId="CommentText">
    <w:name w:val="annotation text"/>
    <w:basedOn w:val="Normal"/>
    <w:link w:val="CommentTextChar"/>
    <w:uiPriority w:val="99"/>
    <w:unhideWhenUsed/>
    <w:rsid w:val="00B963F2"/>
    <w:rPr>
      <w:szCs w:val="20"/>
    </w:rPr>
  </w:style>
  <w:style w:type="character" w:customStyle="1" w:styleId="CommentTextChar">
    <w:name w:val="Comment Text Char"/>
    <w:basedOn w:val="DefaultParagraphFont"/>
    <w:link w:val="CommentText"/>
    <w:uiPriority w:val="99"/>
    <w:rsid w:val="00B963F2"/>
    <w:rPr>
      <w:szCs w:val="20"/>
    </w:rPr>
  </w:style>
  <w:style w:type="paragraph" w:styleId="CommentSubject">
    <w:name w:val="annotation subject"/>
    <w:basedOn w:val="CommentText"/>
    <w:next w:val="CommentText"/>
    <w:link w:val="CommentSubjectChar"/>
    <w:uiPriority w:val="99"/>
    <w:semiHidden/>
    <w:unhideWhenUsed/>
    <w:rsid w:val="00B963F2"/>
    <w:rPr>
      <w:b/>
      <w:bCs/>
    </w:rPr>
  </w:style>
  <w:style w:type="character" w:customStyle="1" w:styleId="CommentSubjectChar">
    <w:name w:val="Comment Subject Char"/>
    <w:basedOn w:val="CommentTextChar"/>
    <w:link w:val="CommentSubject"/>
    <w:uiPriority w:val="99"/>
    <w:semiHidden/>
    <w:rsid w:val="00B963F2"/>
    <w:rPr>
      <w:b/>
      <w:bCs/>
      <w:szCs w:val="20"/>
    </w:rPr>
  </w:style>
  <w:style w:type="paragraph" w:styleId="BalloonText">
    <w:name w:val="Balloon Text"/>
    <w:basedOn w:val="Normal"/>
    <w:link w:val="BalloonTextChar"/>
    <w:uiPriority w:val="99"/>
    <w:semiHidden/>
    <w:unhideWhenUsed/>
    <w:rsid w:val="00B9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3F2"/>
    <w:rPr>
      <w:rFonts w:ascii="Segoe UI" w:hAnsi="Segoe UI" w:cs="Segoe UI"/>
      <w:sz w:val="18"/>
      <w:szCs w:val="18"/>
    </w:rPr>
  </w:style>
  <w:style w:type="table" w:styleId="TableGrid">
    <w:name w:val="Table Grid"/>
    <w:basedOn w:val="TableNormal"/>
    <w:uiPriority w:val="59"/>
    <w:rsid w:val="005A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40F"/>
    <w:rPr>
      <w:color w:val="0000FF" w:themeColor="hyperlink"/>
      <w:u w:val="single"/>
    </w:rPr>
  </w:style>
  <w:style w:type="character" w:customStyle="1" w:styleId="UnresolvedMention1">
    <w:name w:val="Unresolved Mention1"/>
    <w:basedOn w:val="DefaultParagraphFont"/>
    <w:uiPriority w:val="99"/>
    <w:semiHidden/>
    <w:unhideWhenUsed/>
    <w:rsid w:val="0011340F"/>
    <w:rPr>
      <w:color w:val="605E5C"/>
      <w:shd w:val="clear" w:color="auto" w:fill="E1DFDD"/>
    </w:rPr>
  </w:style>
  <w:style w:type="paragraph" w:styleId="Revision">
    <w:name w:val="Revision"/>
    <w:hidden/>
    <w:uiPriority w:val="99"/>
    <w:semiHidden/>
    <w:rsid w:val="009A1A73"/>
    <w:pPr>
      <w:widowControl/>
      <w:autoSpaceDE/>
      <w:autoSpaceDN/>
    </w:pPr>
  </w:style>
  <w:style w:type="character" w:customStyle="1" w:styleId="Heading1Char">
    <w:name w:val="Heading 1 Char"/>
    <w:basedOn w:val="DefaultParagraphFont"/>
    <w:link w:val="Heading1"/>
    <w:uiPriority w:val="9"/>
    <w:rsid w:val="00126A71"/>
    <w:rPr>
      <w:rFonts w:eastAsia="Arial"/>
      <w:b/>
      <w:bCs/>
      <w:szCs w:val="20"/>
    </w:rPr>
  </w:style>
  <w:style w:type="character" w:customStyle="1" w:styleId="DocID">
    <w:name w:val="DocID"/>
    <w:basedOn w:val="DefaultParagraphFont"/>
    <w:rsid w:val="00C61373"/>
    <w:rPr>
      <w:rFonts w:ascii="Verdana" w:hAnsi="Verdana"/>
      <w:b w:val="0"/>
      <w:i w:val="0"/>
      <w:iCs/>
      <w:caps w:val="0"/>
      <w:vanish w:val="0"/>
      <w:color w:val="000000"/>
      <w:sz w:val="14"/>
      <w:u w:val="none"/>
    </w:rPr>
  </w:style>
  <w:style w:type="paragraph" w:customStyle="1" w:styleId="Default">
    <w:name w:val="Default"/>
    <w:rsid w:val="00DB5121"/>
    <w:pPr>
      <w:widowControl/>
      <w:adjustRightInd w:val="0"/>
    </w:pPr>
    <w:rPr>
      <w:color w:val="000000"/>
      <w:sz w:val="24"/>
      <w:szCs w:val="24"/>
    </w:rPr>
  </w:style>
  <w:style w:type="paragraph" w:customStyle="1" w:styleId="ONEBodyText">
    <w:name w:val="ONE Body Text"/>
    <w:basedOn w:val="Normal"/>
    <w:link w:val="ONEBodyTextChar"/>
    <w:qFormat/>
    <w:rsid w:val="00A55623"/>
    <w:pPr>
      <w:widowControl/>
      <w:autoSpaceDE/>
      <w:autoSpaceDN/>
      <w:spacing w:after="240"/>
      <w:jc w:val="both"/>
    </w:pPr>
    <w:rPr>
      <w:rFonts w:ascii="Calibri" w:hAnsi="Calibri" w:cstheme="minorBidi"/>
      <w:szCs w:val="24"/>
      <w:lang w:val="en-CA"/>
    </w:rPr>
  </w:style>
  <w:style w:type="character" w:customStyle="1" w:styleId="ONEBodyTextChar">
    <w:name w:val="ONE Body Text Char"/>
    <w:basedOn w:val="DefaultParagraphFont"/>
    <w:link w:val="ONEBodyText"/>
    <w:rsid w:val="00A55623"/>
    <w:rPr>
      <w:rFonts w:ascii="Calibri" w:hAnsi="Calibri" w:cstheme="minorBidi"/>
      <w:szCs w:val="24"/>
      <w:lang w:val="en-CA"/>
    </w:rPr>
  </w:style>
  <w:style w:type="paragraph" w:styleId="NormalWeb">
    <w:name w:val="Normal (Web)"/>
    <w:basedOn w:val="Normal"/>
    <w:uiPriority w:val="99"/>
    <w:semiHidden/>
    <w:unhideWhenUsed/>
    <w:rsid w:val="00D7115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71154"/>
    <w:rPr>
      <w:b/>
      <w:bCs/>
    </w:rPr>
  </w:style>
  <w:style w:type="paragraph" w:customStyle="1" w:styleId="ONEBulletL1">
    <w:name w:val="ONE Bullet L1"/>
    <w:basedOn w:val="Normal"/>
    <w:qFormat/>
    <w:rsid w:val="00544B77"/>
    <w:pPr>
      <w:widowControl/>
      <w:autoSpaceDE/>
      <w:autoSpaceDN/>
      <w:spacing w:after="240"/>
      <w:jc w:val="both"/>
    </w:pPr>
    <w:rPr>
      <w:rFonts w:ascii="Calibri" w:hAnsi="Calibri" w:cstheme="minorBidi"/>
      <w:szCs w:val="24"/>
      <w:lang w:val="en-CA"/>
    </w:rPr>
  </w:style>
  <w:style w:type="paragraph" w:customStyle="1" w:styleId="ONEBulletL2">
    <w:name w:val="ONE Bullet L2"/>
    <w:basedOn w:val="Normal"/>
    <w:qFormat/>
    <w:rsid w:val="00544B77"/>
    <w:pPr>
      <w:widowControl/>
      <w:numPr>
        <w:ilvl w:val="1"/>
        <w:numId w:val="11"/>
      </w:numPr>
      <w:autoSpaceDE/>
      <w:autoSpaceDN/>
      <w:spacing w:after="240"/>
    </w:pPr>
    <w:rPr>
      <w:rFonts w:ascii="Calibri" w:hAnsi="Calibri" w:cstheme="minorBidi"/>
      <w:szCs w:val="24"/>
      <w:lang w:val="en-CA"/>
    </w:rPr>
  </w:style>
  <w:style w:type="paragraph" w:customStyle="1" w:styleId="ONEBulletL3">
    <w:name w:val="ONE Bullet L3"/>
    <w:basedOn w:val="Normal"/>
    <w:qFormat/>
    <w:rsid w:val="00544B77"/>
    <w:pPr>
      <w:widowControl/>
      <w:numPr>
        <w:ilvl w:val="2"/>
        <w:numId w:val="11"/>
      </w:numPr>
      <w:autoSpaceDE/>
      <w:autoSpaceDN/>
      <w:spacing w:after="240"/>
    </w:pPr>
    <w:rPr>
      <w:rFonts w:ascii="Calibri" w:hAnsi="Calibri" w:cstheme="minorBidi"/>
      <w:szCs w:val="24"/>
      <w:lang w:val="en-CA"/>
    </w:rPr>
  </w:style>
  <w:style w:type="paragraph" w:customStyle="1" w:styleId="ONELine">
    <w:name w:val="ONE Line"/>
    <w:basedOn w:val="Normal"/>
    <w:qFormat/>
    <w:rsid w:val="00CC1A26"/>
    <w:pPr>
      <w:keepNext/>
      <w:widowControl/>
      <w:autoSpaceDE/>
      <w:autoSpaceDN/>
      <w:spacing w:after="240"/>
    </w:pPr>
    <w:rPr>
      <w:rFonts w:ascii="Calibri" w:hAnsi="Calibri" w:cstheme="minorBidi"/>
      <w:b/>
      <w:szCs w:val="24"/>
      <w:lang w:val="en-CA"/>
    </w:rPr>
  </w:style>
  <w:style w:type="paragraph" w:customStyle="1" w:styleId="DocsID">
    <w:name w:val="DocsID"/>
    <w:basedOn w:val="Normal"/>
    <w:link w:val="DocsIDChar"/>
    <w:rsid w:val="001B76A4"/>
    <w:rPr>
      <w:color w:val="000000"/>
      <w:sz w:val="16"/>
    </w:rPr>
  </w:style>
  <w:style w:type="character" w:customStyle="1" w:styleId="DocsIDChar">
    <w:name w:val="DocsID Char"/>
    <w:basedOn w:val="DefaultParagraphFont"/>
    <w:link w:val="DocsID"/>
    <w:rsid w:val="001B76A4"/>
    <w:rPr>
      <w:color w:val="000000"/>
      <w:sz w:val="16"/>
    </w:rPr>
  </w:style>
  <w:style w:type="character" w:styleId="UnresolvedMention">
    <w:name w:val="Unresolved Mention"/>
    <w:basedOn w:val="DefaultParagraphFont"/>
    <w:uiPriority w:val="99"/>
    <w:rsid w:val="00B31FBA"/>
    <w:rPr>
      <w:color w:val="605E5C"/>
      <w:shd w:val="clear" w:color="auto" w:fill="E1DFDD"/>
    </w:rPr>
  </w:style>
  <w:style w:type="character" w:styleId="FollowedHyperlink">
    <w:name w:val="FollowedHyperlink"/>
    <w:basedOn w:val="DefaultParagraphFont"/>
    <w:uiPriority w:val="99"/>
    <w:semiHidden/>
    <w:unhideWhenUsed/>
    <w:rsid w:val="00B31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02203">
      <w:bodyDiv w:val="1"/>
      <w:marLeft w:val="0"/>
      <w:marRight w:val="0"/>
      <w:marTop w:val="0"/>
      <w:marBottom w:val="0"/>
      <w:divBdr>
        <w:top w:val="none" w:sz="0" w:space="0" w:color="auto"/>
        <w:left w:val="none" w:sz="0" w:space="0" w:color="auto"/>
        <w:bottom w:val="none" w:sz="0" w:space="0" w:color="auto"/>
        <w:right w:val="none" w:sz="0" w:space="0" w:color="auto"/>
      </w:divBdr>
    </w:div>
    <w:div w:id="352265692">
      <w:bodyDiv w:val="1"/>
      <w:marLeft w:val="0"/>
      <w:marRight w:val="0"/>
      <w:marTop w:val="0"/>
      <w:marBottom w:val="0"/>
      <w:divBdr>
        <w:top w:val="none" w:sz="0" w:space="0" w:color="auto"/>
        <w:left w:val="none" w:sz="0" w:space="0" w:color="auto"/>
        <w:bottom w:val="none" w:sz="0" w:space="0" w:color="auto"/>
        <w:right w:val="none" w:sz="0" w:space="0" w:color="auto"/>
      </w:divBdr>
    </w:div>
    <w:div w:id="470904897">
      <w:bodyDiv w:val="1"/>
      <w:marLeft w:val="0"/>
      <w:marRight w:val="0"/>
      <w:marTop w:val="0"/>
      <w:marBottom w:val="0"/>
      <w:divBdr>
        <w:top w:val="none" w:sz="0" w:space="0" w:color="auto"/>
        <w:left w:val="none" w:sz="0" w:space="0" w:color="auto"/>
        <w:bottom w:val="none" w:sz="0" w:space="0" w:color="auto"/>
        <w:right w:val="none" w:sz="0" w:space="0" w:color="auto"/>
      </w:divBdr>
    </w:div>
    <w:div w:id="522135692">
      <w:bodyDiv w:val="1"/>
      <w:marLeft w:val="0"/>
      <w:marRight w:val="0"/>
      <w:marTop w:val="0"/>
      <w:marBottom w:val="0"/>
      <w:divBdr>
        <w:top w:val="none" w:sz="0" w:space="0" w:color="auto"/>
        <w:left w:val="none" w:sz="0" w:space="0" w:color="auto"/>
        <w:bottom w:val="none" w:sz="0" w:space="0" w:color="auto"/>
        <w:right w:val="none" w:sz="0" w:space="0" w:color="auto"/>
      </w:divBdr>
    </w:div>
    <w:div w:id="551311498">
      <w:bodyDiv w:val="1"/>
      <w:marLeft w:val="0"/>
      <w:marRight w:val="0"/>
      <w:marTop w:val="0"/>
      <w:marBottom w:val="0"/>
      <w:divBdr>
        <w:top w:val="none" w:sz="0" w:space="0" w:color="auto"/>
        <w:left w:val="none" w:sz="0" w:space="0" w:color="auto"/>
        <w:bottom w:val="none" w:sz="0" w:space="0" w:color="auto"/>
        <w:right w:val="none" w:sz="0" w:space="0" w:color="auto"/>
      </w:divBdr>
    </w:div>
    <w:div w:id="771825646">
      <w:bodyDiv w:val="1"/>
      <w:marLeft w:val="0"/>
      <w:marRight w:val="0"/>
      <w:marTop w:val="0"/>
      <w:marBottom w:val="0"/>
      <w:divBdr>
        <w:top w:val="none" w:sz="0" w:space="0" w:color="auto"/>
        <w:left w:val="none" w:sz="0" w:space="0" w:color="auto"/>
        <w:bottom w:val="none" w:sz="0" w:space="0" w:color="auto"/>
        <w:right w:val="none" w:sz="0" w:space="0" w:color="auto"/>
      </w:divBdr>
    </w:div>
    <w:div w:id="787892558">
      <w:bodyDiv w:val="1"/>
      <w:marLeft w:val="0"/>
      <w:marRight w:val="0"/>
      <w:marTop w:val="0"/>
      <w:marBottom w:val="0"/>
      <w:divBdr>
        <w:top w:val="none" w:sz="0" w:space="0" w:color="auto"/>
        <w:left w:val="none" w:sz="0" w:space="0" w:color="auto"/>
        <w:bottom w:val="none" w:sz="0" w:space="0" w:color="auto"/>
        <w:right w:val="none" w:sz="0" w:space="0" w:color="auto"/>
      </w:divBdr>
    </w:div>
    <w:div w:id="872839443">
      <w:bodyDiv w:val="1"/>
      <w:marLeft w:val="0"/>
      <w:marRight w:val="0"/>
      <w:marTop w:val="0"/>
      <w:marBottom w:val="0"/>
      <w:divBdr>
        <w:top w:val="none" w:sz="0" w:space="0" w:color="auto"/>
        <w:left w:val="none" w:sz="0" w:space="0" w:color="auto"/>
        <w:bottom w:val="none" w:sz="0" w:space="0" w:color="auto"/>
        <w:right w:val="none" w:sz="0" w:space="0" w:color="auto"/>
      </w:divBdr>
    </w:div>
    <w:div w:id="957562053">
      <w:bodyDiv w:val="1"/>
      <w:marLeft w:val="0"/>
      <w:marRight w:val="0"/>
      <w:marTop w:val="0"/>
      <w:marBottom w:val="0"/>
      <w:divBdr>
        <w:top w:val="none" w:sz="0" w:space="0" w:color="auto"/>
        <w:left w:val="none" w:sz="0" w:space="0" w:color="auto"/>
        <w:bottom w:val="none" w:sz="0" w:space="0" w:color="auto"/>
        <w:right w:val="none" w:sz="0" w:space="0" w:color="auto"/>
      </w:divBdr>
    </w:div>
    <w:div w:id="1110510147">
      <w:bodyDiv w:val="1"/>
      <w:marLeft w:val="0"/>
      <w:marRight w:val="0"/>
      <w:marTop w:val="0"/>
      <w:marBottom w:val="0"/>
      <w:divBdr>
        <w:top w:val="none" w:sz="0" w:space="0" w:color="auto"/>
        <w:left w:val="none" w:sz="0" w:space="0" w:color="auto"/>
        <w:bottom w:val="none" w:sz="0" w:space="0" w:color="auto"/>
        <w:right w:val="none" w:sz="0" w:space="0" w:color="auto"/>
      </w:divBdr>
    </w:div>
    <w:div w:id="1299843997">
      <w:bodyDiv w:val="1"/>
      <w:marLeft w:val="0"/>
      <w:marRight w:val="0"/>
      <w:marTop w:val="0"/>
      <w:marBottom w:val="0"/>
      <w:divBdr>
        <w:top w:val="none" w:sz="0" w:space="0" w:color="auto"/>
        <w:left w:val="none" w:sz="0" w:space="0" w:color="auto"/>
        <w:bottom w:val="none" w:sz="0" w:space="0" w:color="auto"/>
        <w:right w:val="none" w:sz="0" w:space="0" w:color="auto"/>
      </w:divBdr>
    </w:div>
    <w:div w:id="1318996128">
      <w:bodyDiv w:val="1"/>
      <w:marLeft w:val="0"/>
      <w:marRight w:val="0"/>
      <w:marTop w:val="0"/>
      <w:marBottom w:val="0"/>
      <w:divBdr>
        <w:top w:val="none" w:sz="0" w:space="0" w:color="auto"/>
        <w:left w:val="none" w:sz="0" w:space="0" w:color="auto"/>
        <w:bottom w:val="none" w:sz="0" w:space="0" w:color="auto"/>
        <w:right w:val="none" w:sz="0" w:space="0" w:color="auto"/>
      </w:divBdr>
    </w:div>
    <w:div w:id="1723555656">
      <w:bodyDiv w:val="1"/>
      <w:marLeft w:val="0"/>
      <w:marRight w:val="0"/>
      <w:marTop w:val="0"/>
      <w:marBottom w:val="0"/>
      <w:divBdr>
        <w:top w:val="none" w:sz="0" w:space="0" w:color="auto"/>
        <w:left w:val="none" w:sz="0" w:space="0" w:color="auto"/>
        <w:bottom w:val="none" w:sz="0" w:space="0" w:color="auto"/>
        <w:right w:val="none" w:sz="0" w:space="0" w:color="auto"/>
      </w:divBdr>
    </w:div>
    <w:div w:id="1831557487">
      <w:bodyDiv w:val="1"/>
      <w:marLeft w:val="0"/>
      <w:marRight w:val="0"/>
      <w:marTop w:val="0"/>
      <w:marBottom w:val="0"/>
      <w:divBdr>
        <w:top w:val="none" w:sz="0" w:space="0" w:color="auto"/>
        <w:left w:val="none" w:sz="0" w:space="0" w:color="auto"/>
        <w:bottom w:val="none" w:sz="0" w:space="0" w:color="auto"/>
        <w:right w:val="none" w:sz="0" w:space="0" w:color="auto"/>
      </w:divBdr>
    </w:div>
    <w:div w:id="1903784341">
      <w:bodyDiv w:val="1"/>
      <w:marLeft w:val="0"/>
      <w:marRight w:val="0"/>
      <w:marTop w:val="0"/>
      <w:marBottom w:val="0"/>
      <w:divBdr>
        <w:top w:val="none" w:sz="0" w:space="0" w:color="auto"/>
        <w:left w:val="none" w:sz="0" w:space="0" w:color="auto"/>
        <w:bottom w:val="none" w:sz="0" w:space="0" w:color="auto"/>
        <w:right w:val="none" w:sz="0" w:space="0" w:color="auto"/>
      </w:divBdr>
    </w:div>
    <w:div w:id="199553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darplus.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0.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edarplus.ca"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tunebaycorp.com/news/post/fortune-bay-announces-updated-pea-for-goldfields-saskatchewan"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B463CF-0510-4EAB-B479-F06B8B42C064}">
  <we:reference id="e40aa9d4-a8ff-4a6c-ab29-49821c435f31" version="4.9.0.0" store="EXCatalog" storeType="EXCatalog"/>
  <we:alternateReferences>
    <we:reference id="WA200002384" version="4.9.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A7D7D1C98C34C911A4006D9CD4493" ma:contentTypeVersion="18" ma:contentTypeDescription="Create a new document." ma:contentTypeScope="" ma:versionID="d6ad568f6d1dfe83bd7c345a4969a0f5">
  <xsd:schema xmlns:xsd="http://www.w3.org/2001/XMLSchema" xmlns:xs="http://www.w3.org/2001/XMLSchema" xmlns:p="http://schemas.microsoft.com/office/2006/metadata/properties" xmlns:ns2="75706c6a-fb17-44ef-9f81-ee6807f1a215" xmlns:ns3="e627f3b7-dfed-445b-b137-ccc4ec03d2f0" targetNamespace="http://schemas.microsoft.com/office/2006/metadata/properties" ma:root="true" ma:fieldsID="af0b4d49ca43f410598b9ffd1cf62502" ns2:_="" ns3:_="">
    <xsd:import namespace="75706c6a-fb17-44ef-9f81-ee6807f1a215"/>
    <xsd:import namespace="e627f3b7-dfed-445b-b137-ccc4ec03d2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06c6a-fb17-44ef-9f81-ee6807f1a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8999f6-55d2-4c4d-b1f2-e440c812c7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7f3b7-dfed-445b-b137-ccc4ec03d2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43e26d-ddf8-49c2-98d9-3e5468b87fb6}" ma:internalName="TaxCatchAll" ma:showField="CatchAllData" ma:web="e627f3b7-dfed-445b-b137-ccc4ec03d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706c6a-fb17-44ef-9f81-ee6807f1a215">
      <Terms xmlns="http://schemas.microsoft.com/office/infopath/2007/PartnerControls"/>
    </lcf76f155ced4ddcb4097134ff3c332f>
    <TaxCatchAll xmlns="e627f3b7-dfed-445b-b137-ccc4ec03d2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F3C85-5E45-4ECE-AA7D-DF46E5A7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06c6a-fb17-44ef-9f81-ee6807f1a215"/>
    <ds:schemaRef ds:uri="e627f3b7-dfed-445b-b137-ccc4ec03d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28860-6677-43AF-AB52-F2588B421243}">
  <ds:schemaRefs>
    <ds:schemaRef ds:uri="http://schemas.microsoft.com/office/2006/metadata/properties"/>
    <ds:schemaRef ds:uri="http://schemas.microsoft.com/office/infopath/2007/PartnerControls"/>
    <ds:schemaRef ds:uri="75706c6a-fb17-44ef-9f81-ee6807f1a215"/>
    <ds:schemaRef ds:uri="e627f3b7-dfed-445b-b137-ccc4ec03d2f0"/>
  </ds:schemaRefs>
</ds:datastoreItem>
</file>

<file path=customXml/itemProps3.xml><?xml version="1.0" encoding="utf-8"?>
<ds:datastoreItem xmlns:ds="http://schemas.openxmlformats.org/officeDocument/2006/customXml" ds:itemID="{BC640E4E-ED45-4D6A-B9E8-3B5B2782F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27749</CharactersWithSpaces>
  <SharedDoc>false</SharedDoc>
  <HLinks>
    <vt:vector size="18" baseType="variant">
      <vt:variant>
        <vt:i4>1900574</vt:i4>
      </vt:variant>
      <vt:variant>
        <vt:i4>6</vt:i4>
      </vt:variant>
      <vt:variant>
        <vt:i4>0</vt:i4>
      </vt:variant>
      <vt:variant>
        <vt:i4>5</vt:i4>
      </vt:variant>
      <vt:variant>
        <vt:lpwstr>http://www.sedarplus.ca/</vt:lpwstr>
      </vt:variant>
      <vt:variant>
        <vt:lpwstr/>
      </vt:variant>
      <vt:variant>
        <vt:i4>8126587</vt:i4>
      </vt:variant>
      <vt:variant>
        <vt:i4>3</vt:i4>
      </vt:variant>
      <vt:variant>
        <vt:i4>0</vt:i4>
      </vt:variant>
      <vt:variant>
        <vt:i4>5</vt:i4>
      </vt:variant>
      <vt:variant>
        <vt:lpwstr>https://fortunebaycorp.com/news/post/fortune-bay-announces-updated-pea-for-goldfields-saskatchewan</vt:lpwstr>
      </vt:variant>
      <vt:variant>
        <vt:lpwstr/>
      </vt:variant>
      <vt:variant>
        <vt:i4>1900574</vt:i4>
      </vt:variant>
      <vt:variant>
        <vt:i4>0</vt:i4>
      </vt:variant>
      <vt:variant>
        <vt:i4>0</vt:i4>
      </vt:variant>
      <vt:variant>
        <vt:i4>5</vt:i4>
      </vt:variant>
      <vt:variant>
        <vt:lpwstr>http://www.sedarplus.ca/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Simpson, Kyle</cp:lastModifiedBy>
  <cp:revision>7</cp:revision>
  <dcterms:created xsi:type="dcterms:W3CDTF">2025-10-20T21:17:00Z</dcterms:created>
  <dcterms:modified xsi:type="dcterms:W3CDTF">2025-10-20T21:37:00Z</dcterms:modified>
</cp:coreProperties>
</file>